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92" w:rsidRDefault="007E7492" w:rsidP="00F730A2">
      <w:pPr>
        <w:pStyle w:val="Heading3"/>
        <w:numPr>
          <w:ilvl w:val="2"/>
          <w:numId w:val="36"/>
        </w:numPr>
        <w:ind w:left="1134" w:hanging="1134"/>
      </w:pPr>
      <w:bookmarkStart w:id="0" w:name="_Toc321921943"/>
      <w:bookmarkStart w:id="1" w:name="_Toc512339237"/>
      <w:bookmarkStart w:id="2" w:name="_Toc513716470"/>
      <w:r>
        <w:t>District centre zone code</w:t>
      </w:r>
      <w:bookmarkEnd w:id="0"/>
      <w:r>
        <w:rPr>
          <w:rStyle w:val="FootnoteReference"/>
        </w:rPr>
        <w:footnoteReference w:id="1"/>
      </w:r>
      <w:bookmarkEnd w:id="1"/>
      <w:bookmarkEnd w:id="2"/>
    </w:p>
    <w:p w:rsidR="007E7492" w:rsidRDefault="007E7492" w:rsidP="00F730A2">
      <w:pPr>
        <w:pStyle w:val="Heading4"/>
        <w:numPr>
          <w:ilvl w:val="3"/>
          <w:numId w:val="36"/>
        </w:numPr>
        <w:spacing w:before="100" w:after="200"/>
      </w:pPr>
      <w:bookmarkStart w:id="3" w:name="_Toc512339238"/>
      <w:bookmarkStart w:id="4" w:name="_Toc513716471"/>
      <w:r>
        <w:t>Application</w:t>
      </w:r>
      <w:bookmarkEnd w:id="3"/>
      <w:bookmarkEnd w:id="4"/>
    </w:p>
    <w:p w:rsidR="007E7492" w:rsidRDefault="007E7492" w:rsidP="007E7492">
      <w:r>
        <w:t>This code applies to assessable development:-</w:t>
      </w:r>
    </w:p>
    <w:p w:rsidR="007E7492" w:rsidRDefault="007E7492" w:rsidP="007E7492"/>
    <w:p w:rsidR="007E7492" w:rsidRDefault="007E7492" w:rsidP="007E7492">
      <w:pPr>
        <w:numPr>
          <w:ilvl w:val="1"/>
          <w:numId w:val="31"/>
        </w:numPr>
        <w:tabs>
          <w:tab w:val="num" w:pos="540"/>
          <w:tab w:val="num" w:pos="1827"/>
        </w:tabs>
        <w:ind w:left="540" w:hanging="540"/>
      </w:pPr>
      <w:r>
        <w:t>within the District centre zone as identified on the zoning maps</w:t>
      </w:r>
      <w:r>
        <w:rPr>
          <w:rFonts w:cs="Arial"/>
          <w:szCs w:val="20"/>
        </w:rPr>
        <w:t xml:space="preserve"> contained within </w:t>
      </w:r>
      <w:r>
        <w:rPr>
          <w:rFonts w:cs="Arial"/>
          <w:b/>
          <w:bCs/>
          <w:szCs w:val="20"/>
        </w:rPr>
        <w:t>Schedule 2 (Mapping)</w:t>
      </w:r>
      <w:r>
        <w:rPr>
          <w:rFonts w:cs="Arial"/>
          <w:szCs w:val="20"/>
        </w:rPr>
        <w:t>; and</w:t>
      </w:r>
    </w:p>
    <w:p w:rsidR="007E7492" w:rsidRDefault="007E7492" w:rsidP="007E7492"/>
    <w:p w:rsidR="007E7492" w:rsidRDefault="007E7492" w:rsidP="007E7492">
      <w:pPr>
        <w:numPr>
          <w:ilvl w:val="1"/>
          <w:numId w:val="31"/>
        </w:numPr>
        <w:tabs>
          <w:tab w:val="num" w:pos="540"/>
          <w:tab w:val="num" w:pos="1827"/>
        </w:tabs>
        <w:ind w:left="540" w:hanging="540"/>
      </w:pPr>
      <w:proofErr w:type="gramStart"/>
      <w:r>
        <w:t>identified</w:t>
      </w:r>
      <w:proofErr w:type="gramEnd"/>
      <w:r>
        <w:t xml:space="preserve"> as requiring assessment against the District centre zone code by the tables of assessment in </w:t>
      </w:r>
      <w:r>
        <w:rPr>
          <w:b/>
        </w:rPr>
        <w:t>Part 5 (Tables of assessment)</w:t>
      </w:r>
      <w:r>
        <w:t>.</w:t>
      </w:r>
    </w:p>
    <w:p w:rsidR="007E7492" w:rsidRDefault="007E7492" w:rsidP="00F730A2">
      <w:pPr>
        <w:pStyle w:val="Heading4"/>
        <w:numPr>
          <w:ilvl w:val="3"/>
          <w:numId w:val="36"/>
        </w:numPr>
        <w:spacing w:after="200"/>
      </w:pPr>
      <w:bookmarkStart w:id="5" w:name="_Toc512339239"/>
      <w:bookmarkStart w:id="6" w:name="_Toc513716472"/>
      <w:r>
        <w:t>Purpose</w:t>
      </w:r>
      <w:bookmarkEnd w:id="5"/>
      <w:bookmarkEnd w:id="6"/>
      <w:r>
        <w:t xml:space="preserve"> </w:t>
      </w:r>
    </w:p>
    <w:p w:rsidR="007E7492" w:rsidRPr="00C23691" w:rsidRDefault="007E7492" w:rsidP="007E7492">
      <w:pPr>
        <w:pStyle w:val="ListParagraph"/>
        <w:numPr>
          <w:ilvl w:val="0"/>
          <w:numId w:val="29"/>
        </w:numPr>
        <w:autoSpaceDE w:val="0"/>
        <w:autoSpaceDN w:val="0"/>
        <w:adjustRightInd w:val="0"/>
        <w:rPr>
          <w:rFonts w:cs="Arial"/>
          <w:szCs w:val="20"/>
        </w:rPr>
      </w:pPr>
      <w:r w:rsidRPr="00C23691">
        <w:rPr>
          <w:rFonts w:cs="Arial"/>
          <w:szCs w:val="20"/>
        </w:rPr>
        <w:t>The purpose of the district centre zone is to provide for a large variety of uses and activities to service a district of the local government area, including, for example, administrative, business, community, cultural, entertainment, professional, residential or retail uses or activities.</w:t>
      </w:r>
    </w:p>
    <w:p w:rsidR="007E7492" w:rsidRDefault="007E7492" w:rsidP="007E7492">
      <w:pPr>
        <w:rPr>
          <w:rFonts w:cs="Arial"/>
          <w:szCs w:val="20"/>
        </w:rPr>
      </w:pPr>
    </w:p>
    <w:p w:rsidR="007E7492" w:rsidRDefault="007E7492" w:rsidP="007E7492">
      <w:pPr>
        <w:numPr>
          <w:ilvl w:val="0"/>
          <w:numId w:val="29"/>
        </w:numPr>
        <w:rPr>
          <w:rFonts w:cs="Arial"/>
          <w:szCs w:val="20"/>
        </w:rPr>
      </w:pPr>
      <w:r>
        <w:rPr>
          <w:rFonts w:cs="Arial"/>
          <w:szCs w:val="20"/>
        </w:rPr>
        <w:t>The purpose of the District centre zone code will be achieved through the following overall outcomes:</w:t>
      </w:r>
    </w:p>
    <w:p w:rsidR="007E7492" w:rsidRDefault="007E7492" w:rsidP="007E7492">
      <w:pPr>
        <w:ind w:left="567"/>
        <w:rPr>
          <w:rFonts w:cs="Arial"/>
          <w:szCs w:val="20"/>
        </w:rPr>
      </w:pPr>
    </w:p>
    <w:p w:rsidR="007E7492" w:rsidRDefault="007E7492" w:rsidP="007E7492">
      <w:pPr>
        <w:numPr>
          <w:ilvl w:val="1"/>
          <w:numId w:val="29"/>
        </w:numPr>
        <w:rPr>
          <w:rFonts w:cs="Arial"/>
          <w:szCs w:val="20"/>
        </w:rPr>
      </w:pPr>
      <w:proofErr w:type="gramStart"/>
      <w:r>
        <w:rPr>
          <w:rFonts w:cs="Arial"/>
          <w:szCs w:val="20"/>
        </w:rPr>
        <w:t>a</w:t>
      </w:r>
      <w:proofErr w:type="gramEnd"/>
      <w:r>
        <w:rPr>
          <w:rFonts w:cs="Arial"/>
          <w:szCs w:val="20"/>
        </w:rPr>
        <w:t xml:space="preserve"> mix of retail, commercial, residential, offices, administrative, health services, community, cultural and small-scale entertainment and recreational activities that is capable of servicing a district is provided. Development will </w:t>
      </w:r>
      <w:r w:rsidRPr="00C23691">
        <w:rPr>
          <w:rFonts w:cs="Arial"/>
          <w:szCs w:val="20"/>
        </w:rPr>
        <w:t>complement but not compete with the role and function of the principal activity centres by serving the needs of district level catchments and distinct communities in centres that are highly accessible and well connected to the catchment areas and communities that they serve</w:t>
      </w:r>
      <w:r>
        <w:rPr>
          <w:rFonts w:cs="Arial"/>
          <w:szCs w:val="20"/>
        </w:rPr>
        <w:t>;</w:t>
      </w:r>
    </w:p>
    <w:p w:rsidR="007E7492" w:rsidRDefault="007E7492" w:rsidP="007E7492">
      <w:pPr>
        <w:ind w:left="1134"/>
        <w:rPr>
          <w:rFonts w:cs="Arial"/>
          <w:szCs w:val="20"/>
        </w:rPr>
      </w:pPr>
    </w:p>
    <w:p w:rsidR="007E7492" w:rsidRDefault="007E7492" w:rsidP="007E7492">
      <w:pPr>
        <w:numPr>
          <w:ilvl w:val="1"/>
          <w:numId w:val="29"/>
        </w:numPr>
        <w:rPr>
          <w:rFonts w:cs="Arial"/>
          <w:szCs w:val="20"/>
        </w:rPr>
      </w:pPr>
      <w:r>
        <w:rPr>
          <w:rFonts w:cs="Arial"/>
          <w:szCs w:val="20"/>
        </w:rPr>
        <w:t>beyond existing uses, development provides for a limited range of residential activities, including caretaker’s accommodation, dwelling units (e.g. shop top housing) and multi-unit residential uses, where such activities are ancillary to and support the predominant business functions of the zone</w:t>
      </w:r>
      <w:r>
        <w:rPr>
          <w:rFonts w:cs="Arial"/>
          <w:szCs w:val="20"/>
          <w:vertAlign w:val="superscript"/>
        </w:rPr>
        <w:footnoteReference w:id="2"/>
      </w:r>
      <w:r>
        <w:rPr>
          <w:rFonts w:cs="Arial"/>
          <w:szCs w:val="20"/>
        </w:rPr>
        <w:t>;</w:t>
      </w:r>
    </w:p>
    <w:p w:rsidR="007E7492" w:rsidRDefault="007E7492" w:rsidP="007E7492">
      <w:pPr>
        <w:pStyle w:val="ListParagraph"/>
        <w:rPr>
          <w:rFonts w:cs="Arial"/>
          <w:szCs w:val="20"/>
        </w:rPr>
      </w:pPr>
    </w:p>
    <w:p w:rsidR="007E7492" w:rsidRDefault="007E7492" w:rsidP="007E7492">
      <w:pPr>
        <w:numPr>
          <w:ilvl w:val="1"/>
          <w:numId w:val="29"/>
        </w:numPr>
        <w:rPr>
          <w:rFonts w:cs="Arial"/>
          <w:szCs w:val="20"/>
        </w:rPr>
      </w:pPr>
      <w:r>
        <w:rPr>
          <w:rFonts w:cs="Arial"/>
          <w:szCs w:val="20"/>
        </w:rPr>
        <w:t>development is well-designed, contributes to a high quality public realm and promotes public transport use, walking and cycling;</w:t>
      </w:r>
    </w:p>
    <w:p w:rsidR="007E7492" w:rsidRDefault="007E7492" w:rsidP="007E7492">
      <w:pPr>
        <w:ind w:left="1134"/>
        <w:rPr>
          <w:rFonts w:cs="Arial"/>
          <w:szCs w:val="20"/>
        </w:rPr>
      </w:pPr>
    </w:p>
    <w:p w:rsidR="007E7492" w:rsidRDefault="007E7492" w:rsidP="007E7492">
      <w:pPr>
        <w:numPr>
          <w:ilvl w:val="1"/>
          <w:numId w:val="29"/>
        </w:numPr>
        <w:rPr>
          <w:rFonts w:cs="Arial"/>
          <w:szCs w:val="20"/>
        </w:rPr>
      </w:pPr>
      <w:r>
        <w:rPr>
          <w:rFonts w:cs="Arial"/>
          <w:szCs w:val="20"/>
        </w:rPr>
        <w:t xml:space="preserve">district centres are to be developed as well-designed, safe and visually attractive business, community and employment centres, predominantly in a low-rise building format, where significant off-site impacts are avoided; </w:t>
      </w:r>
    </w:p>
    <w:p w:rsidR="007E7492" w:rsidRDefault="007E7492" w:rsidP="007E7492">
      <w:pPr>
        <w:rPr>
          <w:rFonts w:cs="Arial"/>
          <w:szCs w:val="20"/>
        </w:rPr>
      </w:pPr>
    </w:p>
    <w:p w:rsidR="007E7492" w:rsidRDefault="007E7492" w:rsidP="007E7492">
      <w:pPr>
        <w:numPr>
          <w:ilvl w:val="1"/>
          <w:numId w:val="29"/>
        </w:numPr>
        <w:rPr>
          <w:rFonts w:cs="Arial"/>
          <w:szCs w:val="20"/>
        </w:rPr>
      </w:pPr>
      <w:r>
        <w:rPr>
          <w:rFonts w:cs="Arial"/>
          <w:szCs w:val="20"/>
        </w:rPr>
        <w:t>development incorporates a high standard of architecture, urban design and landscaping that creates attractive and functional buildings, streets and places;</w:t>
      </w:r>
    </w:p>
    <w:p w:rsidR="007E7492" w:rsidRDefault="007E7492" w:rsidP="007E7492">
      <w:pPr>
        <w:pStyle w:val="ListParagraph"/>
        <w:rPr>
          <w:rFonts w:cs="Arial"/>
          <w:szCs w:val="20"/>
        </w:rPr>
      </w:pPr>
    </w:p>
    <w:p w:rsidR="007E7492" w:rsidRDefault="007E7492" w:rsidP="007E7492">
      <w:pPr>
        <w:numPr>
          <w:ilvl w:val="1"/>
          <w:numId w:val="29"/>
        </w:numPr>
        <w:rPr>
          <w:rFonts w:cs="Arial"/>
          <w:szCs w:val="20"/>
        </w:rPr>
      </w:pPr>
      <w:r>
        <w:rPr>
          <w:rFonts w:cs="Arial"/>
          <w:szCs w:val="20"/>
        </w:rPr>
        <w:t>development responds to land constraints including topography and flooding;</w:t>
      </w:r>
    </w:p>
    <w:p w:rsidR="007E7492" w:rsidRDefault="007E7492" w:rsidP="007E7492">
      <w:pPr>
        <w:pStyle w:val="ListParagraph"/>
        <w:rPr>
          <w:rFonts w:cs="Arial"/>
          <w:szCs w:val="20"/>
        </w:rPr>
      </w:pPr>
    </w:p>
    <w:p w:rsidR="007E7492" w:rsidRDefault="007E7492" w:rsidP="007E7492">
      <w:pPr>
        <w:numPr>
          <w:ilvl w:val="1"/>
          <w:numId w:val="29"/>
        </w:numPr>
        <w:rPr>
          <w:rFonts w:cs="Arial"/>
          <w:szCs w:val="20"/>
        </w:rPr>
      </w:pPr>
      <w:r>
        <w:rPr>
          <w:rFonts w:cs="Arial"/>
          <w:szCs w:val="20"/>
        </w:rPr>
        <w:t>development is located, designed and operated in a manner that does not unreasonably impact on the amenity of surrounding premises; and</w:t>
      </w:r>
    </w:p>
    <w:p w:rsidR="007E7492" w:rsidRDefault="007E7492" w:rsidP="007E7492">
      <w:pPr>
        <w:pStyle w:val="ListParagraph"/>
        <w:rPr>
          <w:rFonts w:cs="Arial"/>
          <w:szCs w:val="20"/>
        </w:rPr>
      </w:pPr>
      <w:bookmarkStart w:id="7" w:name="_GoBack"/>
    </w:p>
    <w:bookmarkEnd w:id="7"/>
    <w:p w:rsidR="007E7492" w:rsidRDefault="007E7492" w:rsidP="007E7492">
      <w:pPr>
        <w:numPr>
          <w:ilvl w:val="1"/>
          <w:numId w:val="29"/>
        </w:numPr>
        <w:rPr>
          <w:rFonts w:cs="Arial"/>
          <w:szCs w:val="20"/>
        </w:rPr>
      </w:pPr>
      <w:proofErr w:type="gramStart"/>
      <w:r>
        <w:rPr>
          <w:rFonts w:cs="Arial"/>
          <w:szCs w:val="20"/>
        </w:rPr>
        <w:lastRenderedPageBreak/>
        <w:t>development</w:t>
      </w:r>
      <w:proofErr w:type="gramEnd"/>
      <w:r>
        <w:rPr>
          <w:rFonts w:cs="Arial"/>
          <w:szCs w:val="20"/>
        </w:rPr>
        <w:t xml:space="preserve"> does not adversely impact on the continued safe operation, viability and maintenance of existing infrastructure or compromise the future provision of planned infrastructure.</w:t>
      </w:r>
    </w:p>
    <w:p w:rsidR="00946AA1" w:rsidRDefault="00946AA1" w:rsidP="007E7492"/>
    <w:p w:rsidR="007E7492" w:rsidRDefault="007E7492" w:rsidP="00F730A2">
      <w:pPr>
        <w:pStyle w:val="Heading4"/>
        <w:numPr>
          <w:ilvl w:val="3"/>
          <w:numId w:val="36"/>
        </w:numPr>
        <w:spacing w:after="240"/>
      </w:pPr>
      <w:bookmarkStart w:id="8" w:name="_Toc512339240"/>
      <w:bookmarkStart w:id="9" w:name="_Toc513716473"/>
      <w:r>
        <w:t>Assessment benchmarks</w:t>
      </w:r>
      <w:bookmarkEnd w:id="8"/>
      <w:bookmarkEnd w:id="9"/>
    </w:p>
    <w:p w:rsidR="007E7492" w:rsidRDefault="007E7492" w:rsidP="007E7492">
      <w:pPr>
        <w:spacing w:before="100" w:after="120"/>
        <w:ind w:left="1701" w:hanging="1701"/>
        <w:outlineLvl w:val="6"/>
        <w:rPr>
          <w:b/>
          <w:bCs/>
          <w:iCs/>
        </w:rPr>
      </w:pPr>
      <w:r>
        <w:rPr>
          <w:b/>
          <w:bCs/>
          <w:iCs/>
        </w:rPr>
        <w:t>Table 6.2.5.3.1</w:t>
      </w:r>
      <w:r>
        <w:rPr>
          <w:b/>
          <w:bCs/>
          <w:iCs/>
        </w:rPr>
        <w:tab/>
        <w:t>Assessment benchmarks for assessable development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27"/>
        <w:gridCol w:w="831"/>
        <w:gridCol w:w="3453"/>
        <w:gridCol w:w="5922"/>
      </w:tblGrid>
      <w:tr w:rsidR="007E7492" w:rsidTr="007E7492">
        <w:trPr>
          <w:tblHeader/>
        </w:trPr>
        <w:tc>
          <w:tcPr>
            <w:tcW w:w="4644" w:type="dxa"/>
            <w:gridSpan w:val="2"/>
            <w:tcBorders>
              <w:bottom w:val="single" w:sz="4" w:space="0" w:color="auto"/>
            </w:tcBorders>
            <w:shd w:val="clear" w:color="auto" w:fill="000000"/>
          </w:tcPr>
          <w:p w:rsidR="007E7492" w:rsidRDefault="007E7492" w:rsidP="00E302B1">
            <w:pPr>
              <w:rPr>
                <w:b/>
                <w:sz w:val="18"/>
                <w:szCs w:val="18"/>
              </w:rPr>
            </w:pPr>
            <w:r>
              <w:rPr>
                <w:b/>
                <w:sz w:val="18"/>
                <w:szCs w:val="18"/>
              </w:rPr>
              <w:t>Performance outcomes</w:t>
            </w:r>
          </w:p>
        </w:tc>
        <w:tc>
          <w:tcPr>
            <w:tcW w:w="4284" w:type="dxa"/>
            <w:gridSpan w:val="2"/>
            <w:tcBorders>
              <w:bottom w:val="single" w:sz="4" w:space="0" w:color="auto"/>
            </w:tcBorders>
            <w:shd w:val="clear" w:color="auto" w:fill="000000"/>
          </w:tcPr>
          <w:p w:rsidR="007E7492" w:rsidRDefault="007E7492" w:rsidP="00E302B1">
            <w:pPr>
              <w:rPr>
                <w:b/>
                <w:sz w:val="18"/>
                <w:szCs w:val="18"/>
              </w:rPr>
            </w:pPr>
            <w:r>
              <w:rPr>
                <w:b/>
                <w:sz w:val="18"/>
                <w:szCs w:val="18"/>
              </w:rPr>
              <w:t xml:space="preserve">Acceptable outcomes </w:t>
            </w:r>
          </w:p>
        </w:tc>
        <w:tc>
          <w:tcPr>
            <w:tcW w:w="5922" w:type="dxa"/>
            <w:tcBorders>
              <w:bottom w:val="single" w:sz="4" w:space="0" w:color="auto"/>
            </w:tcBorders>
            <w:shd w:val="clear" w:color="auto" w:fill="000000"/>
          </w:tcPr>
          <w:p w:rsidR="007E7492" w:rsidRDefault="007E7492" w:rsidP="00E302B1">
            <w:pPr>
              <w:rPr>
                <w:b/>
                <w:sz w:val="18"/>
                <w:szCs w:val="18"/>
              </w:rPr>
            </w:pPr>
            <w:r>
              <w:rPr>
                <w:b/>
                <w:sz w:val="18"/>
                <w:szCs w:val="18"/>
              </w:rPr>
              <w:t>Applicant Response</w:t>
            </w:r>
          </w:p>
        </w:tc>
      </w:tr>
      <w:tr w:rsidR="007E7492" w:rsidTr="007E7492">
        <w:tc>
          <w:tcPr>
            <w:tcW w:w="8928" w:type="dxa"/>
            <w:gridSpan w:val="4"/>
            <w:shd w:val="clear" w:color="auto" w:fill="D9D9D9"/>
          </w:tcPr>
          <w:p w:rsidR="007E7492" w:rsidRDefault="007E7492" w:rsidP="00E302B1">
            <w:pPr>
              <w:rPr>
                <w:b/>
                <w:i/>
                <w:sz w:val="18"/>
                <w:szCs w:val="18"/>
              </w:rPr>
            </w:pPr>
            <w:r>
              <w:rPr>
                <w:b/>
                <w:i/>
                <w:sz w:val="18"/>
                <w:szCs w:val="18"/>
              </w:rPr>
              <w:t>Function</w:t>
            </w:r>
          </w:p>
        </w:tc>
        <w:tc>
          <w:tcPr>
            <w:tcW w:w="5922" w:type="dxa"/>
            <w:shd w:val="clear" w:color="auto" w:fill="D9D9D9"/>
          </w:tcPr>
          <w:p w:rsidR="007E7492" w:rsidRDefault="007E7492" w:rsidP="00E302B1">
            <w:pPr>
              <w:rPr>
                <w:b/>
                <w:i/>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PO1</w:t>
            </w:r>
          </w:p>
        </w:tc>
        <w:tc>
          <w:tcPr>
            <w:tcW w:w="3827" w:type="dxa"/>
            <w:shd w:val="clear" w:color="auto" w:fill="auto"/>
          </w:tcPr>
          <w:p w:rsidR="007E7492" w:rsidRDefault="007E7492" w:rsidP="00E302B1">
            <w:pPr>
              <w:jc w:val="both"/>
              <w:rPr>
                <w:sz w:val="18"/>
                <w:szCs w:val="18"/>
              </w:rPr>
            </w:pPr>
            <w:r>
              <w:rPr>
                <w:sz w:val="18"/>
                <w:szCs w:val="18"/>
              </w:rPr>
              <w:t>Development provides for a range of retail uses, including shops and shopping centres, that service the district level needs of:-</w:t>
            </w:r>
          </w:p>
          <w:p w:rsidR="007E7492" w:rsidRDefault="007E7492" w:rsidP="007E7492">
            <w:pPr>
              <w:numPr>
                <w:ilvl w:val="0"/>
                <w:numId w:val="30"/>
              </w:numPr>
              <w:ind w:left="468" w:hanging="468"/>
              <w:jc w:val="both"/>
              <w:rPr>
                <w:sz w:val="18"/>
                <w:szCs w:val="18"/>
              </w:rPr>
            </w:pPr>
            <w:r>
              <w:rPr>
                <w:sz w:val="18"/>
                <w:szCs w:val="18"/>
              </w:rPr>
              <w:t>surrounding smaller centres and residential areas in the case of district (urban) centres; and</w:t>
            </w:r>
          </w:p>
          <w:p w:rsidR="007E7492" w:rsidRPr="004F55DA" w:rsidRDefault="007E7492" w:rsidP="007E7492">
            <w:pPr>
              <w:numPr>
                <w:ilvl w:val="0"/>
                <w:numId w:val="30"/>
              </w:numPr>
              <w:ind w:left="468" w:hanging="468"/>
              <w:jc w:val="both"/>
              <w:rPr>
                <w:sz w:val="18"/>
                <w:szCs w:val="18"/>
              </w:rPr>
            </w:pPr>
            <w:proofErr w:type="gramStart"/>
            <w:r>
              <w:rPr>
                <w:sz w:val="18"/>
                <w:szCs w:val="18"/>
              </w:rPr>
              <w:t>distinct</w:t>
            </w:r>
            <w:proofErr w:type="gramEnd"/>
            <w:r>
              <w:rPr>
                <w:sz w:val="18"/>
                <w:szCs w:val="18"/>
              </w:rPr>
              <w:t xml:space="preserve"> communities in a rural or coastal setting as well as tourism and surrounding primary production industries in the case of district (rural) centres.</w:t>
            </w:r>
          </w:p>
        </w:tc>
        <w:tc>
          <w:tcPr>
            <w:tcW w:w="831" w:type="dxa"/>
            <w:shd w:val="clear" w:color="auto" w:fill="auto"/>
          </w:tcPr>
          <w:p w:rsidR="007E7492" w:rsidRDefault="007E7492" w:rsidP="00E302B1">
            <w:pPr>
              <w:jc w:val="both"/>
              <w:rPr>
                <w:b/>
                <w:sz w:val="18"/>
                <w:szCs w:val="18"/>
              </w:rPr>
            </w:pPr>
            <w:r>
              <w:rPr>
                <w:b/>
                <w:sz w:val="18"/>
                <w:szCs w:val="18"/>
              </w:rPr>
              <w:t>AO1</w:t>
            </w:r>
          </w:p>
        </w:tc>
        <w:tc>
          <w:tcPr>
            <w:tcW w:w="3453" w:type="dxa"/>
            <w:shd w:val="clear" w:color="auto" w:fill="auto"/>
          </w:tcPr>
          <w:p w:rsidR="007E7492" w:rsidRDefault="007E7492" w:rsidP="00E302B1">
            <w:pPr>
              <w:jc w:val="both"/>
              <w:rPr>
                <w:sz w:val="18"/>
                <w:szCs w:val="18"/>
              </w:rPr>
            </w:pPr>
            <w:r>
              <w:rPr>
                <w:sz w:val="18"/>
                <w:szCs w:val="18"/>
              </w:rPr>
              <w:t>No acceptable outcome provided.</w:t>
            </w:r>
          </w:p>
        </w:tc>
        <w:tc>
          <w:tcPr>
            <w:tcW w:w="5922" w:type="dxa"/>
          </w:tcPr>
          <w:p w:rsidR="007E7492" w:rsidRDefault="007E7492" w:rsidP="00E302B1">
            <w:pPr>
              <w:jc w:val="both"/>
              <w:rPr>
                <w:sz w:val="18"/>
                <w:szCs w:val="18"/>
              </w:rPr>
            </w:pPr>
          </w:p>
        </w:tc>
      </w:tr>
      <w:tr w:rsidR="007E7492" w:rsidTr="007E7492">
        <w:tc>
          <w:tcPr>
            <w:tcW w:w="817" w:type="dxa"/>
            <w:tcBorders>
              <w:bottom w:val="single" w:sz="4" w:space="0" w:color="auto"/>
            </w:tcBorders>
            <w:shd w:val="clear" w:color="auto" w:fill="auto"/>
          </w:tcPr>
          <w:p w:rsidR="007E7492" w:rsidRDefault="007E7492" w:rsidP="00E302B1">
            <w:pPr>
              <w:jc w:val="both"/>
              <w:rPr>
                <w:b/>
                <w:sz w:val="18"/>
                <w:szCs w:val="18"/>
              </w:rPr>
            </w:pPr>
            <w:r>
              <w:rPr>
                <w:b/>
                <w:sz w:val="18"/>
                <w:szCs w:val="18"/>
              </w:rPr>
              <w:t>PO2</w:t>
            </w:r>
          </w:p>
        </w:tc>
        <w:tc>
          <w:tcPr>
            <w:tcW w:w="3827" w:type="dxa"/>
            <w:tcBorders>
              <w:bottom w:val="single" w:sz="4" w:space="0" w:color="auto"/>
            </w:tcBorders>
            <w:shd w:val="clear" w:color="auto" w:fill="auto"/>
          </w:tcPr>
          <w:p w:rsidR="007E7492" w:rsidRDefault="007E7492" w:rsidP="00E302B1">
            <w:pPr>
              <w:jc w:val="both"/>
              <w:rPr>
                <w:sz w:val="18"/>
                <w:szCs w:val="18"/>
              </w:rPr>
            </w:pPr>
            <w:r>
              <w:rPr>
                <w:sz w:val="18"/>
                <w:szCs w:val="18"/>
                <w:lang w:val="en-US"/>
              </w:rPr>
              <w:t>In addition to retail uses, development provides for a mix of other uses including food and drink outlets (e.g. local restaurant and dining facilities), local health care services, offices (e.g. banks and real estate agencies) and an appropriate range of community activities and support services to promote an active, mixed use environment.</w:t>
            </w:r>
          </w:p>
        </w:tc>
        <w:tc>
          <w:tcPr>
            <w:tcW w:w="831" w:type="dxa"/>
            <w:tcBorders>
              <w:bottom w:val="single" w:sz="4" w:space="0" w:color="auto"/>
            </w:tcBorders>
            <w:shd w:val="clear" w:color="auto" w:fill="auto"/>
          </w:tcPr>
          <w:p w:rsidR="007E7492" w:rsidRDefault="007E7492" w:rsidP="00E302B1">
            <w:pPr>
              <w:jc w:val="both"/>
              <w:rPr>
                <w:b/>
                <w:sz w:val="18"/>
                <w:szCs w:val="18"/>
              </w:rPr>
            </w:pPr>
            <w:r>
              <w:rPr>
                <w:b/>
                <w:sz w:val="18"/>
                <w:szCs w:val="18"/>
              </w:rPr>
              <w:t>AO2</w:t>
            </w:r>
          </w:p>
        </w:tc>
        <w:tc>
          <w:tcPr>
            <w:tcW w:w="3453" w:type="dxa"/>
            <w:tcBorders>
              <w:bottom w:val="single" w:sz="4" w:space="0" w:color="auto"/>
            </w:tcBorders>
            <w:shd w:val="clear" w:color="auto" w:fill="auto"/>
          </w:tcPr>
          <w:p w:rsidR="007E7492" w:rsidRDefault="007E7492" w:rsidP="00E302B1">
            <w:pPr>
              <w:jc w:val="both"/>
              <w:rPr>
                <w:sz w:val="18"/>
                <w:szCs w:val="18"/>
              </w:rPr>
            </w:pPr>
            <w:r>
              <w:rPr>
                <w:sz w:val="18"/>
                <w:szCs w:val="18"/>
              </w:rPr>
              <w:t>No acceptable outcome provided.</w:t>
            </w:r>
          </w:p>
        </w:tc>
        <w:tc>
          <w:tcPr>
            <w:tcW w:w="5922" w:type="dxa"/>
            <w:tcBorders>
              <w:bottom w:val="single" w:sz="4" w:space="0" w:color="auto"/>
            </w:tcBorders>
          </w:tcPr>
          <w:p w:rsidR="007E7492" w:rsidRDefault="007E7492" w:rsidP="00E302B1">
            <w:pPr>
              <w:jc w:val="both"/>
              <w:rPr>
                <w:sz w:val="18"/>
                <w:szCs w:val="18"/>
              </w:rPr>
            </w:pPr>
          </w:p>
        </w:tc>
      </w:tr>
      <w:tr w:rsidR="007E7492" w:rsidTr="007E7492">
        <w:tc>
          <w:tcPr>
            <w:tcW w:w="8928" w:type="dxa"/>
            <w:gridSpan w:val="4"/>
            <w:shd w:val="clear" w:color="auto" w:fill="D9D9D9"/>
          </w:tcPr>
          <w:p w:rsidR="007E7492" w:rsidRDefault="007E7492" w:rsidP="00E302B1">
            <w:pPr>
              <w:rPr>
                <w:rFonts w:cs="Arial"/>
                <w:b/>
                <w:i/>
                <w:sz w:val="18"/>
                <w:szCs w:val="18"/>
              </w:rPr>
            </w:pPr>
            <w:r>
              <w:rPr>
                <w:rFonts w:cs="Arial"/>
                <w:b/>
                <w:i/>
                <w:sz w:val="18"/>
                <w:szCs w:val="18"/>
              </w:rPr>
              <w:t>Non-business activity uses</w:t>
            </w:r>
          </w:p>
        </w:tc>
        <w:tc>
          <w:tcPr>
            <w:tcW w:w="5922" w:type="dxa"/>
            <w:shd w:val="clear" w:color="auto" w:fill="D9D9D9"/>
          </w:tcPr>
          <w:p w:rsidR="007E7492" w:rsidRDefault="007E7492" w:rsidP="00E302B1">
            <w:pPr>
              <w:rPr>
                <w:rFonts w:cs="Arial"/>
                <w:b/>
                <w:i/>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PO3</w:t>
            </w:r>
          </w:p>
        </w:tc>
        <w:tc>
          <w:tcPr>
            <w:tcW w:w="3827" w:type="dxa"/>
            <w:shd w:val="clear" w:color="auto" w:fill="auto"/>
          </w:tcPr>
          <w:p w:rsidR="007E7492" w:rsidRDefault="007E7492" w:rsidP="00E302B1">
            <w:pPr>
              <w:jc w:val="both"/>
              <w:rPr>
                <w:sz w:val="18"/>
                <w:szCs w:val="18"/>
              </w:rPr>
            </w:pPr>
            <w:r>
              <w:rPr>
                <w:sz w:val="18"/>
                <w:szCs w:val="18"/>
              </w:rPr>
              <w:t>Service industry and utility installation uses may be established where such uses are compatible with the character and amenity of surrounding development.</w:t>
            </w:r>
          </w:p>
        </w:tc>
        <w:tc>
          <w:tcPr>
            <w:tcW w:w="831" w:type="dxa"/>
            <w:shd w:val="clear" w:color="auto" w:fill="auto"/>
          </w:tcPr>
          <w:p w:rsidR="007E7492" w:rsidRDefault="007E7492" w:rsidP="00E302B1">
            <w:pPr>
              <w:jc w:val="both"/>
              <w:rPr>
                <w:b/>
                <w:sz w:val="18"/>
                <w:szCs w:val="18"/>
              </w:rPr>
            </w:pPr>
            <w:r>
              <w:rPr>
                <w:b/>
                <w:sz w:val="18"/>
                <w:szCs w:val="18"/>
              </w:rPr>
              <w:t>AO3</w:t>
            </w:r>
          </w:p>
        </w:tc>
        <w:tc>
          <w:tcPr>
            <w:tcW w:w="3453" w:type="dxa"/>
            <w:shd w:val="clear" w:color="auto" w:fill="auto"/>
          </w:tcPr>
          <w:p w:rsidR="007E7492" w:rsidRDefault="007E7492" w:rsidP="00E302B1">
            <w:pPr>
              <w:jc w:val="both"/>
              <w:rPr>
                <w:sz w:val="18"/>
                <w:szCs w:val="18"/>
              </w:rPr>
            </w:pPr>
            <w:r>
              <w:rPr>
                <w:sz w:val="18"/>
                <w:szCs w:val="18"/>
              </w:rPr>
              <w:t>No acceptable outcome provided.</w:t>
            </w:r>
          </w:p>
        </w:tc>
        <w:tc>
          <w:tcPr>
            <w:tcW w:w="5922" w:type="dxa"/>
          </w:tcPr>
          <w:p w:rsidR="007E7492" w:rsidRDefault="007E7492" w:rsidP="00E302B1">
            <w:pPr>
              <w:jc w:val="both"/>
              <w:rPr>
                <w:sz w:val="18"/>
                <w:szCs w:val="18"/>
              </w:rPr>
            </w:pPr>
          </w:p>
        </w:tc>
      </w:tr>
      <w:tr w:rsidR="007E7492" w:rsidTr="007E7492">
        <w:tc>
          <w:tcPr>
            <w:tcW w:w="8928" w:type="dxa"/>
            <w:gridSpan w:val="4"/>
            <w:shd w:val="clear" w:color="auto" w:fill="D9D9D9"/>
          </w:tcPr>
          <w:p w:rsidR="007E7492" w:rsidRDefault="007E7492" w:rsidP="00E302B1">
            <w:pPr>
              <w:rPr>
                <w:rFonts w:cs="Arial"/>
                <w:b/>
                <w:i/>
                <w:sz w:val="18"/>
                <w:szCs w:val="18"/>
              </w:rPr>
            </w:pPr>
            <w:r>
              <w:rPr>
                <w:rFonts w:cs="Arial"/>
                <w:b/>
                <w:i/>
                <w:sz w:val="18"/>
                <w:szCs w:val="18"/>
              </w:rPr>
              <w:t>Residential uses</w:t>
            </w:r>
          </w:p>
        </w:tc>
        <w:tc>
          <w:tcPr>
            <w:tcW w:w="5922" w:type="dxa"/>
            <w:shd w:val="clear" w:color="auto" w:fill="D9D9D9"/>
          </w:tcPr>
          <w:p w:rsidR="007E7492" w:rsidRDefault="007E7492" w:rsidP="00E302B1">
            <w:pPr>
              <w:rPr>
                <w:rFonts w:cs="Arial"/>
                <w:b/>
                <w:i/>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PO4</w:t>
            </w:r>
          </w:p>
        </w:tc>
        <w:tc>
          <w:tcPr>
            <w:tcW w:w="3827" w:type="dxa"/>
            <w:shd w:val="clear" w:color="auto" w:fill="auto"/>
          </w:tcPr>
          <w:p w:rsidR="007E7492" w:rsidRDefault="007E7492" w:rsidP="00E302B1">
            <w:pPr>
              <w:jc w:val="both"/>
              <w:rPr>
                <w:rFonts w:cs="Arial"/>
                <w:sz w:val="18"/>
                <w:szCs w:val="18"/>
              </w:rPr>
            </w:pPr>
            <w:r>
              <w:rPr>
                <w:rFonts w:cs="Arial"/>
                <w:sz w:val="18"/>
                <w:szCs w:val="18"/>
              </w:rPr>
              <w:t>D</w:t>
            </w:r>
            <w:r w:rsidRPr="00D32B66">
              <w:rPr>
                <w:rFonts w:cs="Arial"/>
                <w:sz w:val="18"/>
                <w:szCs w:val="18"/>
              </w:rPr>
              <w:t>evelopment provides for a limited range of residential activities, including caretaker’s accommodation, dwelling units (e.g. shop top housing) and multi-unit residential uses, where such activities</w:t>
            </w:r>
            <w:r>
              <w:rPr>
                <w:rFonts w:cs="Arial"/>
                <w:sz w:val="18"/>
                <w:szCs w:val="18"/>
              </w:rPr>
              <w:t>:-</w:t>
            </w:r>
          </w:p>
          <w:p w:rsidR="007E7492" w:rsidRPr="00D32B66" w:rsidRDefault="007E7492" w:rsidP="007E7492">
            <w:pPr>
              <w:numPr>
                <w:ilvl w:val="0"/>
                <w:numId w:val="33"/>
              </w:numPr>
              <w:ind w:left="468" w:hanging="468"/>
              <w:jc w:val="both"/>
              <w:rPr>
                <w:sz w:val="18"/>
                <w:szCs w:val="18"/>
              </w:rPr>
            </w:pPr>
            <w:r>
              <w:rPr>
                <w:sz w:val="18"/>
                <w:szCs w:val="18"/>
              </w:rPr>
              <w:t xml:space="preserve">are </w:t>
            </w:r>
            <w:r w:rsidRPr="00D32B66">
              <w:rPr>
                <w:sz w:val="18"/>
                <w:szCs w:val="18"/>
              </w:rPr>
              <w:t>ancillary to and support the predominant business functions of the zone;</w:t>
            </w:r>
          </w:p>
          <w:p w:rsidR="007E7492" w:rsidRPr="007C7AE3" w:rsidRDefault="007E7492" w:rsidP="007E7492">
            <w:pPr>
              <w:numPr>
                <w:ilvl w:val="0"/>
                <w:numId w:val="33"/>
              </w:numPr>
              <w:ind w:left="468" w:hanging="468"/>
              <w:jc w:val="both"/>
              <w:rPr>
                <w:sz w:val="18"/>
                <w:szCs w:val="18"/>
              </w:rPr>
            </w:pPr>
            <w:proofErr w:type="gramStart"/>
            <w:r>
              <w:rPr>
                <w:sz w:val="18"/>
                <w:szCs w:val="18"/>
              </w:rPr>
              <w:t>form</w:t>
            </w:r>
            <w:proofErr w:type="gramEnd"/>
            <w:r>
              <w:rPr>
                <w:sz w:val="18"/>
                <w:szCs w:val="18"/>
              </w:rPr>
              <w:t xml:space="preserve"> part of mixed use premises with buildings incorporating non-residential uses at street level to activate the </w:t>
            </w:r>
            <w:r>
              <w:rPr>
                <w:sz w:val="18"/>
                <w:szCs w:val="18"/>
              </w:rPr>
              <w:lastRenderedPageBreak/>
              <w:t xml:space="preserve">public realm. </w:t>
            </w:r>
          </w:p>
        </w:tc>
        <w:tc>
          <w:tcPr>
            <w:tcW w:w="831" w:type="dxa"/>
            <w:shd w:val="clear" w:color="auto" w:fill="auto"/>
          </w:tcPr>
          <w:p w:rsidR="007E7492" w:rsidRDefault="007E7492" w:rsidP="00E302B1">
            <w:pPr>
              <w:jc w:val="both"/>
              <w:rPr>
                <w:b/>
                <w:sz w:val="18"/>
                <w:szCs w:val="18"/>
              </w:rPr>
            </w:pPr>
            <w:r>
              <w:rPr>
                <w:b/>
                <w:sz w:val="18"/>
                <w:szCs w:val="18"/>
              </w:rPr>
              <w:lastRenderedPageBreak/>
              <w:t>AO4</w:t>
            </w:r>
          </w:p>
        </w:tc>
        <w:tc>
          <w:tcPr>
            <w:tcW w:w="3453" w:type="dxa"/>
            <w:shd w:val="clear" w:color="auto" w:fill="auto"/>
          </w:tcPr>
          <w:p w:rsidR="007E7492" w:rsidRDefault="007E7492" w:rsidP="00E302B1">
            <w:pPr>
              <w:jc w:val="both"/>
              <w:rPr>
                <w:sz w:val="18"/>
                <w:szCs w:val="18"/>
              </w:rPr>
            </w:pPr>
            <w:r>
              <w:rPr>
                <w:sz w:val="18"/>
                <w:szCs w:val="18"/>
              </w:rPr>
              <w:t>No acceptable outcome provided.</w:t>
            </w:r>
          </w:p>
        </w:tc>
        <w:tc>
          <w:tcPr>
            <w:tcW w:w="5922" w:type="dxa"/>
          </w:tcPr>
          <w:p w:rsidR="007E7492" w:rsidRDefault="007E7492" w:rsidP="00E302B1">
            <w:pPr>
              <w:jc w:val="both"/>
              <w:rPr>
                <w:sz w:val="18"/>
                <w:szCs w:val="18"/>
              </w:rPr>
            </w:pPr>
          </w:p>
        </w:tc>
      </w:tr>
      <w:tr w:rsidR="007E7492" w:rsidTr="007E7492">
        <w:tc>
          <w:tcPr>
            <w:tcW w:w="8928" w:type="dxa"/>
            <w:gridSpan w:val="4"/>
            <w:shd w:val="clear" w:color="auto" w:fill="D9D9D9"/>
          </w:tcPr>
          <w:p w:rsidR="007E7492" w:rsidRDefault="007E7492" w:rsidP="00E302B1">
            <w:pPr>
              <w:rPr>
                <w:rFonts w:cs="Arial"/>
                <w:b/>
                <w:i/>
                <w:sz w:val="18"/>
                <w:szCs w:val="18"/>
              </w:rPr>
            </w:pPr>
            <w:r>
              <w:rPr>
                <w:rFonts w:cs="Arial"/>
                <w:b/>
                <w:i/>
                <w:sz w:val="18"/>
                <w:szCs w:val="18"/>
              </w:rPr>
              <w:t>General</w:t>
            </w:r>
          </w:p>
        </w:tc>
        <w:tc>
          <w:tcPr>
            <w:tcW w:w="5922" w:type="dxa"/>
            <w:shd w:val="clear" w:color="auto" w:fill="D9D9D9"/>
          </w:tcPr>
          <w:p w:rsidR="007E7492" w:rsidRDefault="007E7492" w:rsidP="00E302B1">
            <w:pPr>
              <w:rPr>
                <w:rFonts w:cs="Arial"/>
                <w:b/>
                <w:i/>
                <w:sz w:val="18"/>
                <w:szCs w:val="18"/>
              </w:rPr>
            </w:pPr>
          </w:p>
        </w:tc>
      </w:tr>
      <w:tr w:rsidR="007E7492" w:rsidTr="007E7492">
        <w:tc>
          <w:tcPr>
            <w:tcW w:w="817" w:type="dxa"/>
            <w:tcBorders>
              <w:bottom w:val="single" w:sz="4" w:space="0" w:color="auto"/>
            </w:tcBorders>
            <w:shd w:val="clear" w:color="auto" w:fill="auto"/>
          </w:tcPr>
          <w:p w:rsidR="007E7492" w:rsidRDefault="007E7492" w:rsidP="00E302B1">
            <w:pPr>
              <w:jc w:val="both"/>
              <w:rPr>
                <w:b/>
                <w:sz w:val="18"/>
                <w:szCs w:val="18"/>
              </w:rPr>
            </w:pPr>
            <w:r>
              <w:rPr>
                <w:b/>
                <w:sz w:val="18"/>
                <w:szCs w:val="18"/>
              </w:rPr>
              <w:t>PO5</w:t>
            </w:r>
          </w:p>
        </w:tc>
        <w:tc>
          <w:tcPr>
            <w:tcW w:w="3827" w:type="dxa"/>
            <w:tcBorders>
              <w:bottom w:val="single" w:sz="4" w:space="0" w:color="auto"/>
            </w:tcBorders>
            <w:shd w:val="clear" w:color="auto" w:fill="auto"/>
          </w:tcPr>
          <w:p w:rsidR="007E7492" w:rsidRDefault="007E7492" w:rsidP="00E302B1">
            <w:pPr>
              <w:jc w:val="both"/>
              <w:rPr>
                <w:sz w:val="18"/>
                <w:szCs w:val="18"/>
              </w:rPr>
            </w:pPr>
            <w:r>
              <w:rPr>
                <w:sz w:val="18"/>
                <w:szCs w:val="18"/>
              </w:rPr>
              <w:t xml:space="preserve">Development for business activities is of a scale and intensity that is consistent with the intended role and function of the particular activity centre as specified in the Fraser Coast hierarchy of centres as described in </w:t>
            </w:r>
            <w:r w:rsidRPr="00265749">
              <w:rPr>
                <w:b/>
                <w:sz w:val="18"/>
                <w:szCs w:val="18"/>
              </w:rPr>
              <w:t>Table 6.</w:t>
            </w:r>
            <w:r>
              <w:rPr>
                <w:b/>
                <w:sz w:val="18"/>
                <w:szCs w:val="18"/>
              </w:rPr>
              <w:t>2.5</w:t>
            </w:r>
            <w:r w:rsidRPr="00265749">
              <w:rPr>
                <w:b/>
                <w:sz w:val="18"/>
                <w:szCs w:val="18"/>
              </w:rPr>
              <w:t>.3.2</w:t>
            </w:r>
            <w:r>
              <w:rPr>
                <w:b/>
                <w:sz w:val="18"/>
                <w:szCs w:val="18"/>
              </w:rPr>
              <w:t xml:space="preserve"> (Fraser Coast Hierarchy of Centres)</w:t>
            </w:r>
            <w:r>
              <w:rPr>
                <w:sz w:val="18"/>
                <w:szCs w:val="18"/>
              </w:rPr>
              <w:t xml:space="preserve"> and spatially shown on </w:t>
            </w:r>
            <w:r w:rsidRPr="00265749">
              <w:rPr>
                <w:b/>
                <w:sz w:val="18"/>
                <w:szCs w:val="18"/>
              </w:rPr>
              <w:t>Figure 6</w:t>
            </w:r>
            <w:r>
              <w:rPr>
                <w:b/>
                <w:sz w:val="18"/>
                <w:szCs w:val="18"/>
              </w:rPr>
              <w:t>c</w:t>
            </w:r>
            <w:r>
              <w:rPr>
                <w:sz w:val="18"/>
                <w:szCs w:val="18"/>
              </w:rPr>
              <w:t>. For development in the District centre zone, this includes consideration of the following:-</w:t>
            </w:r>
          </w:p>
          <w:p w:rsidR="007E7492" w:rsidRDefault="007E7492" w:rsidP="007E7492">
            <w:pPr>
              <w:numPr>
                <w:ilvl w:val="0"/>
                <w:numId w:val="32"/>
              </w:numPr>
              <w:ind w:left="468" w:hanging="468"/>
              <w:jc w:val="both"/>
              <w:rPr>
                <w:sz w:val="18"/>
                <w:szCs w:val="18"/>
              </w:rPr>
            </w:pPr>
            <w:r>
              <w:rPr>
                <w:sz w:val="18"/>
                <w:szCs w:val="18"/>
              </w:rPr>
              <w:t>the function and role of existing shopping centres in district (urban) centres is maintained;</w:t>
            </w:r>
          </w:p>
          <w:p w:rsidR="007E7492" w:rsidRDefault="007E7492" w:rsidP="007E7492">
            <w:pPr>
              <w:numPr>
                <w:ilvl w:val="0"/>
                <w:numId w:val="32"/>
              </w:numPr>
              <w:ind w:left="468" w:hanging="468"/>
              <w:jc w:val="both"/>
              <w:rPr>
                <w:sz w:val="18"/>
                <w:szCs w:val="18"/>
              </w:rPr>
            </w:pPr>
            <w:r>
              <w:rPr>
                <w:sz w:val="18"/>
                <w:szCs w:val="18"/>
              </w:rPr>
              <w:t>new shopping centres in district (urban) centres have a maximum retail and commercial gross leasable area in the order of 5,000m</w:t>
            </w:r>
            <w:r w:rsidRPr="004F55DA">
              <w:rPr>
                <w:sz w:val="18"/>
                <w:szCs w:val="18"/>
                <w:vertAlign w:val="superscript"/>
              </w:rPr>
              <w:t>2</w:t>
            </w:r>
            <w:r>
              <w:rPr>
                <w:sz w:val="18"/>
                <w:szCs w:val="18"/>
              </w:rPr>
              <w:t xml:space="preserve">; </w:t>
            </w:r>
          </w:p>
          <w:p w:rsidR="007E7492" w:rsidRDefault="007E7492" w:rsidP="007E7492">
            <w:pPr>
              <w:numPr>
                <w:ilvl w:val="0"/>
                <w:numId w:val="32"/>
              </w:numPr>
              <w:ind w:left="468" w:hanging="468"/>
              <w:jc w:val="both"/>
              <w:rPr>
                <w:sz w:val="18"/>
                <w:szCs w:val="18"/>
              </w:rPr>
            </w:pPr>
            <w:r>
              <w:rPr>
                <w:sz w:val="18"/>
                <w:szCs w:val="18"/>
              </w:rPr>
              <w:t>not more than one full-line supermarket is established in each allocated district (urban) centre, unless there is a demonstrated need and there are no adverse impacts on the Hervey Bay principal activity centre; and</w:t>
            </w:r>
          </w:p>
          <w:p w:rsidR="007E7492" w:rsidRDefault="007E7492" w:rsidP="007E7492">
            <w:pPr>
              <w:numPr>
                <w:ilvl w:val="0"/>
                <w:numId w:val="32"/>
              </w:numPr>
              <w:ind w:left="468" w:hanging="468"/>
              <w:jc w:val="both"/>
              <w:rPr>
                <w:sz w:val="18"/>
                <w:szCs w:val="18"/>
              </w:rPr>
            </w:pPr>
            <w:proofErr w:type="gramStart"/>
            <w:r>
              <w:rPr>
                <w:sz w:val="18"/>
                <w:szCs w:val="18"/>
              </w:rPr>
              <w:t>higher</w:t>
            </w:r>
            <w:proofErr w:type="gramEnd"/>
            <w:r>
              <w:rPr>
                <w:sz w:val="18"/>
                <w:szCs w:val="18"/>
              </w:rPr>
              <w:t xml:space="preserve"> order shopping facilities, including department stores and discount department stores, are not established in the District centre zone.</w:t>
            </w:r>
          </w:p>
        </w:tc>
        <w:tc>
          <w:tcPr>
            <w:tcW w:w="831" w:type="dxa"/>
            <w:tcBorders>
              <w:bottom w:val="single" w:sz="4" w:space="0" w:color="auto"/>
            </w:tcBorders>
            <w:shd w:val="clear" w:color="auto" w:fill="auto"/>
          </w:tcPr>
          <w:p w:rsidR="007E7492" w:rsidRDefault="007E7492" w:rsidP="00E302B1">
            <w:pPr>
              <w:jc w:val="both"/>
              <w:rPr>
                <w:b/>
                <w:sz w:val="18"/>
                <w:szCs w:val="18"/>
              </w:rPr>
            </w:pPr>
            <w:r>
              <w:rPr>
                <w:b/>
                <w:sz w:val="18"/>
                <w:szCs w:val="18"/>
              </w:rPr>
              <w:t>AO5</w:t>
            </w:r>
          </w:p>
        </w:tc>
        <w:tc>
          <w:tcPr>
            <w:tcW w:w="3453" w:type="dxa"/>
            <w:tcBorders>
              <w:bottom w:val="single" w:sz="4" w:space="0" w:color="auto"/>
            </w:tcBorders>
            <w:shd w:val="clear" w:color="auto" w:fill="auto"/>
          </w:tcPr>
          <w:p w:rsidR="007E7492" w:rsidRDefault="007E7492" w:rsidP="00E302B1">
            <w:pPr>
              <w:jc w:val="both"/>
              <w:rPr>
                <w:sz w:val="18"/>
                <w:szCs w:val="18"/>
              </w:rPr>
            </w:pPr>
            <w:r>
              <w:rPr>
                <w:sz w:val="18"/>
                <w:szCs w:val="18"/>
              </w:rPr>
              <w:t>No acceptable outcome provided.</w:t>
            </w:r>
          </w:p>
        </w:tc>
        <w:tc>
          <w:tcPr>
            <w:tcW w:w="5922" w:type="dxa"/>
            <w:tcBorders>
              <w:bottom w:val="single" w:sz="4" w:space="0" w:color="auto"/>
            </w:tcBorders>
          </w:tcPr>
          <w:p w:rsidR="007E7492" w:rsidRDefault="007E7492" w:rsidP="00E302B1">
            <w:pPr>
              <w:jc w:val="both"/>
              <w:rPr>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PO6</w:t>
            </w:r>
          </w:p>
        </w:tc>
        <w:tc>
          <w:tcPr>
            <w:tcW w:w="3827" w:type="dxa"/>
            <w:shd w:val="clear" w:color="auto" w:fill="auto"/>
          </w:tcPr>
          <w:p w:rsidR="007E7492" w:rsidRDefault="007E7492" w:rsidP="00E302B1">
            <w:pPr>
              <w:jc w:val="both"/>
              <w:rPr>
                <w:sz w:val="18"/>
                <w:szCs w:val="18"/>
              </w:rPr>
            </w:pPr>
            <w:r>
              <w:rPr>
                <w:sz w:val="18"/>
                <w:szCs w:val="18"/>
              </w:rPr>
              <w:t xml:space="preserve">Development has a predominantly low-rise built form that is compatible with the intended scale and character of the streetscape and surrounding area. </w:t>
            </w:r>
          </w:p>
        </w:tc>
        <w:tc>
          <w:tcPr>
            <w:tcW w:w="831" w:type="dxa"/>
            <w:shd w:val="clear" w:color="auto" w:fill="auto"/>
          </w:tcPr>
          <w:p w:rsidR="007E7492" w:rsidRDefault="007E7492" w:rsidP="00E302B1">
            <w:pPr>
              <w:jc w:val="both"/>
              <w:rPr>
                <w:b/>
                <w:sz w:val="18"/>
                <w:szCs w:val="18"/>
              </w:rPr>
            </w:pPr>
            <w:r>
              <w:rPr>
                <w:b/>
                <w:sz w:val="18"/>
                <w:szCs w:val="18"/>
              </w:rPr>
              <w:t>AO6</w:t>
            </w:r>
          </w:p>
        </w:tc>
        <w:tc>
          <w:tcPr>
            <w:tcW w:w="3453" w:type="dxa"/>
            <w:shd w:val="clear" w:color="auto" w:fill="auto"/>
          </w:tcPr>
          <w:p w:rsidR="007E7492" w:rsidRDefault="007E7492" w:rsidP="00E302B1">
            <w:pPr>
              <w:tabs>
                <w:tab w:val="num" w:pos="665"/>
              </w:tabs>
              <w:jc w:val="both"/>
              <w:rPr>
                <w:sz w:val="18"/>
                <w:szCs w:val="18"/>
              </w:rPr>
            </w:pPr>
            <w:r>
              <w:rPr>
                <w:sz w:val="18"/>
                <w:szCs w:val="18"/>
              </w:rPr>
              <w:t>Development has a maximum building height of 8.5m above ground level.</w:t>
            </w:r>
          </w:p>
        </w:tc>
        <w:tc>
          <w:tcPr>
            <w:tcW w:w="5922" w:type="dxa"/>
          </w:tcPr>
          <w:p w:rsidR="007E7492" w:rsidRDefault="007E7492" w:rsidP="00E302B1">
            <w:pPr>
              <w:tabs>
                <w:tab w:val="num" w:pos="665"/>
              </w:tabs>
              <w:jc w:val="both"/>
              <w:rPr>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PO7</w:t>
            </w:r>
          </w:p>
        </w:tc>
        <w:tc>
          <w:tcPr>
            <w:tcW w:w="3827" w:type="dxa"/>
            <w:shd w:val="clear" w:color="auto" w:fill="auto"/>
          </w:tcPr>
          <w:p w:rsidR="007E7492" w:rsidRDefault="007E7492" w:rsidP="00E302B1">
            <w:pPr>
              <w:jc w:val="both"/>
              <w:rPr>
                <w:sz w:val="18"/>
                <w:szCs w:val="18"/>
              </w:rPr>
            </w:pPr>
            <w:r>
              <w:rPr>
                <w:sz w:val="18"/>
                <w:szCs w:val="18"/>
              </w:rPr>
              <w:t>D</w:t>
            </w:r>
            <w:r w:rsidRPr="007222E9">
              <w:rPr>
                <w:sz w:val="18"/>
                <w:szCs w:val="18"/>
              </w:rPr>
              <w:t>evelopment is located, designed and operated in a manner that does not unreasonably impact on the amenity of surrounding premises, having regard to matters such as traffic, noise, lighting, waste, fumes, odours, hours of operation, privacy, overlooking and public health and safety</w:t>
            </w:r>
            <w:r>
              <w:rPr>
                <w:sz w:val="18"/>
                <w:szCs w:val="18"/>
              </w:rPr>
              <w:t>.</w:t>
            </w:r>
          </w:p>
        </w:tc>
        <w:tc>
          <w:tcPr>
            <w:tcW w:w="831" w:type="dxa"/>
            <w:shd w:val="clear" w:color="auto" w:fill="auto"/>
          </w:tcPr>
          <w:p w:rsidR="007E7492" w:rsidRDefault="007E7492" w:rsidP="00E302B1">
            <w:pPr>
              <w:jc w:val="both"/>
              <w:rPr>
                <w:b/>
                <w:sz w:val="18"/>
                <w:szCs w:val="18"/>
              </w:rPr>
            </w:pPr>
            <w:r>
              <w:rPr>
                <w:b/>
                <w:sz w:val="18"/>
                <w:szCs w:val="18"/>
              </w:rPr>
              <w:t>AO7</w:t>
            </w:r>
          </w:p>
        </w:tc>
        <w:tc>
          <w:tcPr>
            <w:tcW w:w="3453" w:type="dxa"/>
            <w:shd w:val="clear" w:color="auto" w:fill="auto"/>
          </w:tcPr>
          <w:p w:rsidR="007E7492" w:rsidRDefault="007E7492" w:rsidP="00E302B1">
            <w:pPr>
              <w:tabs>
                <w:tab w:val="num" w:pos="665"/>
              </w:tabs>
              <w:jc w:val="both"/>
              <w:rPr>
                <w:sz w:val="18"/>
                <w:szCs w:val="18"/>
              </w:rPr>
            </w:pPr>
            <w:r>
              <w:rPr>
                <w:sz w:val="18"/>
                <w:szCs w:val="18"/>
              </w:rPr>
              <w:t>No acceptable outcome provided.</w:t>
            </w:r>
          </w:p>
        </w:tc>
        <w:tc>
          <w:tcPr>
            <w:tcW w:w="5922" w:type="dxa"/>
          </w:tcPr>
          <w:p w:rsidR="007E7492" w:rsidRDefault="007E7492" w:rsidP="00E302B1">
            <w:pPr>
              <w:tabs>
                <w:tab w:val="num" w:pos="665"/>
              </w:tabs>
              <w:jc w:val="both"/>
              <w:rPr>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PO8</w:t>
            </w:r>
          </w:p>
        </w:tc>
        <w:tc>
          <w:tcPr>
            <w:tcW w:w="3827" w:type="dxa"/>
            <w:shd w:val="clear" w:color="auto" w:fill="auto"/>
          </w:tcPr>
          <w:p w:rsidR="007E7492" w:rsidRDefault="007E7492" w:rsidP="00E302B1">
            <w:pPr>
              <w:jc w:val="both"/>
              <w:rPr>
                <w:sz w:val="18"/>
                <w:szCs w:val="18"/>
              </w:rPr>
            </w:pPr>
            <w:r>
              <w:rPr>
                <w:sz w:val="18"/>
                <w:szCs w:val="18"/>
              </w:rPr>
              <w:t>Development in district (rural) centres maintains and reinforces the traditional “main street” character of the centre and is sensitive to the rural setting and context of the town.</w:t>
            </w:r>
          </w:p>
        </w:tc>
        <w:tc>
          <w:tcPr>
            <w:tcW w:w="831" w:type="dxa"/>
            <w:shd w:val="clear" w:color="auto" w:fill="auto"/>
          </w:tcPr>
          <w:p w:rsidR="007E7492" w:rsidRDefault="007E7492" w:rsidP="00E302B1">
            <w:pPr>
              <w:jc w:val="both"/>
              <w:rPr>
                <w:b/>
                <w:sz w:val="18"/>
                <w:szCs w:val="18"/>
              </w:rPr>
            </w:pPr>
            <w:r>
              <w:rPr>
                <w:b/>
                <w:sz w:val="18"/>
                <w:szCs w:val="18"/>
              </w:rPr>
              <w:t>AO8</w:t>
            </w:r>
          </w:p>
        </w:tc>
        <w:tc>
          <w:tcPr>
            <w:tcW w:w="3453" w:type="dxa"/>
            <w:shd w:val="clear" w:color="auto" w:fill="auto"/>
          </w:tcPr>
          <w:p w:rsidR="007E7492" w:rsidRDefault="007E7492" w:rsidP="00E302B1">
            <w:pPr>
              <w:tabs>
                <w:tab w:val="num" w:pos="665"/>
              </w:tabs>
              <w:jc w:val="both"/>
              <w:rPr>
                <w:sz w:val="18"/>
                <w:szCs w:val="18"/>
              </w:rPr>
            </w:pPr>
            <w:r>
              <w:rPr>
                <w:sz w:val="18"/>
                <w:szCs w:val="18"/>
              </w:rPr>
              <w:t>No acceptable outcome provided.</w:t>
            </w:r>
          </w:p>
        </w:tc>
        <w:tc>
          <w:tcPr>
            <w:tcW w:w="5922" w:type="dxa"/>
          </w:tcPr>
          <w:p w:rsidR="007E7492" w:rsidRDefault="007E7492" w:rsidP="00E302B1">
            <w:pPr>
              <w:tabs>
                <w:tab w:val="num" w:pos="665"/>
              </w:tabs>
              <w:jc w:val="both"/>
              <w:rPr>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PO9</w:t>
            </w:r>
          </w:p>
        </w:tc>
        <w:tc>
          <w:tcPr>
            <w:tcW w:w="3827" w:type="dxa"/>
            <w:shd w:val="clear" w:color="auto" w:fill="auto"/>
          </w:tcPr>
          <w:p w:rsidR="007E7492" w:rsidRDefault="007E7492" w:rsidP="00E302B1">
            <w:pPr>
              <w:jc w:val="both"/>
              <w:rPr>
                <w:sz w:val="18"/>
                <w:szCs w:val="18"/>
              </w:rPr>
            </w:pPr>
            <w:r>
              <w:rPr>
                <w:sz w:val="18"/>
                <w:szCs w:val="18"/>
              </w:rPr>
              <w:t xml:space="preserve">Development is located, designed and operated to be responsive to the Fraser </w:t>
            </w:r>
            <w:r>
              <w:rPr>
                <w:sz w:val="18"/>
                <w:szCs w:val="18"/>
              </w:rPr>
              <w:lastRenderedPageBreak/>
              <w:t>Coast’s sub-tropical climate</w:t>
            </w:r>
            <w:r>
              <w:rPr>
                <w:sz w:val="18"/>
                <w:szCs w:val="18"/>
                <w:vertAlign w:val="superscript"/>
              </w:rPr>
              <w:footnoteReference w:id="3"/>
            </w:r>
            <w:r>
              <w:rPr>
                <w:sz w:val="18"/>
                <w:szCs w:val="18"/>
              </w:rPr>
              <w:t xml:space="preserve"> and minimises the use of water and energy.</w:t>
            </w:r>
          </w:p>
        </w:tc>
        <w:tc>
          <w:tcPr>
            <w:tcW w:w="831" w:type="dxa"/>
            <w:shd w:val="clear" w:color="auto" w:fill="auto"/>
          </w:tcPr>
          <w:p w:rsidR="007E7492" w:rsidRDefault="007E7492" w:rsidP="00E302B1">
            <w:pPr>
              <w:jc w:val="both"/>
              <w:rPr>
                <w:b/>
                <w:sz w:val="18"/>
                <w:szCs w:val="18"/>
              </w:rPr>
            </w:pPr>
            <w:r>
              <w:rPr>
                <w:b/>
                <w:sz w:val="18"/>
                <w:szCs w:val="18"/>
              </w:rPr>
              <w:lastRenderedPageBreak/>
              <w:t>AO9</w:t>
            </w:r>
          </w:p>
        </w:tc>
        <w:tc>
          <w:tcPr>
            <w:tcW w:w="3453" w:type="dxa"/>
            <w:shd w:val="clear" w:color="auto" w:fill="auto"/>
          </w:tcPr>
          <w:p w:rsidR="007E7492" w:rsidRDefault="007E7492" w:rsidP="00E302B1">
            <w:pPr>
              <w:tabs>
                <w:tab w:val="num" w:pos="665"/>
              </w:tabs>
              <w:jc w:val="both"/>
              <w:rPr>
                <w:sz w:val="18"/>
                <w:szCs w:val="18"/>
              </w:rPr>
            </w:pPr>
            <w:r>
              <w:rPr>
                <w:sz w:val="18"/>
                <w:szCs w:val="18"/>
              </w:rPr>
              <w:t>No acceptable outcome provided.</w:t>
            </w:r>
          </w:p>
        </w:tc>
        <w:tc>
          <w:tcPr>
            <w:tcW w:w="5922" w:type="dxa"/>
          </w:tcPr>
          <w:p w:rsidR="007E7492" w:rsidRDefault="007E7492" w:rsidP="00E302B1">
            <w:pPr>
              <w:tabs>
                <w:tab w:val="num" w:pos="665"/>
              </w:tabs>
              <w:jc w:val="both"/>
              <w:rPr>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PO10</w:t>
            </w:r>
          </w:p>
        </w:tc>
        <w:tc>
          <w:tcPr>
            <w:tcW w:w="3827" w:type="dxa"/>
            <w:shd w:val="clear" w:color="auto" w:fill="auto"/>
          </w:tcPr>
          <w:p w:rsidR="007E7492" w:rsidRDefault="007E7492" w:rsidP="00E302B1">
            <w:pPr>
              <w:jc w:val="both"/>
              <w:rPr>
                <w:sz w:val="18"/>
                <w:szCs w:val="18"/>
              </w:rPr>
            </w:pPr>
            <w:r>
              <w:rPr>
                <w:sz w:val="18"/>
                <w:szCs w:val="18"/>
              </w:rPr>
              <w:t>Development mitigates any adverse impacts on areas of environmental significance, including creeks, gullies, waterways, wetlands, coastal areas, habitats and vegetation through location, design, operation and management.</w:t>
            </w:r>
          </w:p>
        </w:tc>
        <w:tc>
          <w:tcPr>
            <w:tcW w:w="831" w:type="dxa"/>
            <w:shd w:val="clear" w:color="auto" w:fill="auto"/>
          </w:tcPr>
          <w:p w:rsidR="007E7492" w:rsidRDefault="007E7492" w:rsidP="00E302B1">
            <w:pPr>
              <w:jc w:val="both"/>
              <w:rPr>
                <w:b/>
                <w:sz w:val="18"/>
                <w:szCs w:val="18"/>
              </w:rPr>
            </w:pPr>
            <w:r>
              <w:rPr>
                <w:b/>
                <w:sz w:val="18"/>
                <w:szCs w:val="18"/>
              </w:rPr>
              <w:t>AO10</w:t>
            </w:r>
          </w:p>
        </w:tc>
        <w:tc>
          <w:tcPr>
            <w:tcW w:w="3453" w:type="dxa"/>
            <w:shd w:val="clear" w:color="auto" w:fill="auto"/>
          </w:tcPr>
          <w:p w:rsidR="007E7492" w:rsidRDefault="007E7492" w:rsidP="00E302B1">
            <w:pPr>
              <w:tabs>
                <w:tab w:val="num" w:pos="665"/>
              </w:tabs>
              <w:jc w:val="both"/>
              <w:rPr>
                <w:sz w:val="18"/>
                <w:szCs w:val="18"/>
              </w:rPr>
            </w:pPr>
            <w:r>
              <w:rPr>
                <w:sz w:val="18"/>
                <w:szCs w:val="18"/>
              </w:rPr>
              <w:t>No acceptable outcome provided.</w:t>
            </w:r>
          </w:p>
        </w:tc>
        <w:tc>
          <w:tcPr>
            <w:tcW w:w="5922" w:type="dxa"/>
          </w:tcPr>
          <w:p w:rsidR="007E7492" w:rsidRDefault="007E7492" w:rsidP="00E302B1">
            <w:pPr>
              <w:tabs>
                <w:tab w:val="num" w:pos="665"/>
              </w:tabs>
              <w:jc w:val="both"/>
              <w:rPr>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PO11</w:t>
            </w:r>
          </w:p>
        </w:tc>
        <w:tc>
          <w:tcPr>
            <w:tcW w:w="3827" w:type="dxa"/>
            <w:shd w:val="clear" w:color="auto" w:fill="auto"/>
          </w:tcPr>
          <w:p w:rsidR="007E7492" w:rsidRDefault="007E7492" w:rsidP="00E302B1">
            <w:pPr>
              <w:jc w:val="both"/>
              <w:rPr>
                <w:sz w:val="18"/>
                <w:szCs w:val="18"/>
              </w:rPr>
            </w:pPr>
            <w:r>
              <w:rPr>
                <w:sz w:val="18"/>
                <w:szCs w:val="18"/>
              </w:rPr>
              <w:t>Development encourages public transport accessibility and use and also provides for pedestrian, bicycle and vehicular movement networks that maximise connectivity, permeability and ease of movement within and to the centre.</w:t>
            </w:r>
          </w:p>
        </w:tc>
        <w:tc>
          <w:tcPr>
            <w:tcW w:w="831" w:type="dxa"/>
            <w:shd w:val="clear" w:color="auto" w:fill="auto"/>
          </w:tcPr>
          <w:p w:rsidR="007E7492" w:rsidRDefault="007E7492" w:rsidP="00E302B1">
            <w:pPr>
              <w:jc w:val="both"/>
              <w:rPr>
                <w:b/>
                <w:sz w:val="18"/>
                <w:szCs w:val="18"/>
              </w:rPr>
            </w:pPr>
            <w:r>
              <w:rPr>
                <w:b/>
                <w:sz w:val="18"/>
                <w:szCs w:val="18"/>
              </w:rPr>
              <w:t>AO11</w:t>
            </w:r>
          </w:p>
        </w:tc>
        <w:tc>
          <w:tcPr>
            <w:tcW w:w="3453" w:type="dxa"/>
            <w:shd w:val="clear" w:color="auto" w:fill="auto"/>
          </w:tcPr>
          <w:p w:rsidR="007E7492" w:rsidRDefault="007E7492" w:rsidP="00E302B1">
            <w:pPr>
              <w:tabs>
                <w:tab w:val="num" w:pos="665"/>
              </w:tabs>
              <w:jc w:val="both"/>
              <w:rPr>
                <w:sz w:val="18"/>
                <w:szCs w:val="18"/>
              </w:rPr>
            </w:pPr>
            <w:r>
              <w:rPr>
                <w:sz w:val="18"/>
                <w:szCs w:val="18"/>
              </w:rPr>
              <w:t>No acceptable outcome provided.</w:t>
            </w:r>
          </w:p>
        </w:tc>
        <w:tc>
          <w:tcPr>
            <w:tcW w:w="5922" w:type="dxa"/>
          </w:tcPr>
          <w:p w:rsidR="007E7492" w:rsidRDefault="007E7492" w:rsidP="00E302B1">
            <w:pPr>
              <w:tabs>
                <w:tab w:val="num" w:pos="665"/>
              </w:tabs>
              <w:jc w:val="both"/>
              <w:rPr>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PO12</w:t>
            </w:r>
          </w:p>
        </w:tc>
        <w:tc>
          <w:tcPr>
            <w:tcW w:w="3827" w:type="dxa"/>
            <w:shd w:val="clear" w:color="auto" w:fill="auto"/>
          </w:tcPr>
          <w:p w:rsidR="007E7492" w:rsidRDefault="007E7492" w:rsidP="00E302B1">
            <w:pPr>
              <w:jc w:val="both"/>
              <w:rPr>
                <w:sz w:val="18"/>
                <w:szCs w:val="18"/>
              </w:rPr>
            </w:pPr>
            <w:r>
              <w:rPr>
                <w:sz w:val="18"/>
                <w:szCs w:val="18"/>
              </w:rPr>
              <w:t>Development is provided with the full range of urban services, including reticulated water, sewerage, stormwater drainage, sealed roads, electricity and telecommunications infrastructure.</w:t>
            </w:r>
          </w:p>
        </w:tc>
        <w:tc>
          <w:tcPr>
            <w:tcW w:w="831" w:type="dxa"/>
            <w:shd w:val="clear" w:color="auto" w:fill="auto"/>
          </w:tcPr>
          <w:p w:rsidR="007E7492" w:rsidRDefault="007E7492" w:rsidP="00E302B1">
            <w:pPr>
              <w:jc w:val="both"/>
              <w:rPr>
                <w:b/>
                <w:sz w:val="18"/>
                <w:szCs w:val="18"/>
              </w:rPr>
            </w:pPr>
            <w:r>
              <w:rPr>
                <w:b/>
                <w:sz w:val="18"/>
                <w:szCs w:val="18"/>
              </w:rPr>
              <w:t>AO12</w:t>
            </w:r>
          </w:p>
        </w:tc>
        <w:tc>
          <w:tcPr>
            <w:tcW w:w="3453" w:type="dxa"/>
            <w:shd w:val="clear" w:color="auto" w:fill="auto"/>
          </w:tcPr>
          <w:p w:rsidR="007E7492" w:rsidRDefault="007E7492" w:rsidP="00E302B1">
            <w:pPr>
              <w:tabs>
                <w:tab w:val="num" w:pos="665"/>
              </w:tabs>
              <w:jc w:val="both"/>
              <w:rPr>
                <w:sz w:val="18"/>
                <w:szCs w:val="18"/>
              </w:rPr>
            </w:pPr>
            <w:r>
              <w:rPr>
                <w:sz w:val="18"/>
                <w:szCs w:val="18"/>
              </w:rPr>
              <w:t>No acceptable outcome provided.</w:t>
            </w:r>
          </w:p>
        </w:tc>
        <w:tc>
          <w:tcPr>
            <w:tcW w:w="5922" w:type="dxa"/>
          </w:tcPr>
          <w:p w:rsidR="007E7492" w:rsidRDefault="007E7492" w:rsidP="00E302B1">
            <w:pPr>
              <w:tabs>
                <w:tab w:val="num" w:pos="665"/>
              </w:tabs>
              <w:jc w:val="both"/>
              <w:rPr>
                <w:sz w:val="18"/>
                <w:szCs w:val="18"/>
              </w:rPr>
            </w:pPr>
          </w:p>
        </w:tc>
      </w:tr>
      <w:tr w:rsidR="007E7492" w:rsidTr="007E7492">
        <w:tc>
          <w:tcPr>
            <w:tcW w:w="817" w:type="dxa"/>
            <w:shd w:val="clear" w:color="auto" w:fill="auto"/>
          </w:tcPr>
          <w:p w:rsidR="007E7492" w:rsidRDefault="007E7492" w:rsidP="00E302B1">
            <w:pPr>
              <w:jc w:val="both"/>
              <w:rPr>
                <w:b/>
                <w:sz w:val="18"/>
                <w:szCs w:val="18"/>
              </w:rPr>
            </w:pPr>
            <w:r>
              <w:rPr>
                <w:b/>
                <w:sz w:val="18"/>
                <w:szCs w:val="18"/>
              </w:rPr>
              <w:t>PO13</w:t>
            </w:r>
          </w:p>
        </w:tc>
        <w:tc>
          <w:tcPr>
            <w:tcW w:w="3827" w:type="dxa"/>
            <w:shd w:val="clear" w:color="auto" w:fill="auto"/>
          </w:tcPr>
          <w:p w:rsidR="007E7492" w:rsidRDefault="007E7492" w:rsidP="00E302B1">
            <w:pPr>
              <w:jc w:val="both"/>
              <w:rPr>
                <w:sz w:val="18"/>
                <w:szCs w:val="18"/>
              </w:rPr>
            </w:pPr>
            <w:r>
              <w:rPr>
                <w:sz w:val="18"/>
                <w:szCs w:val="18"/>
              </w:rPr>
              <w:t>Development does not adversely impact on the continued safe operation, viability and maintenance of existing infrastructure or compromise the future provision of planned infrastructure.</w:t>
            </w:r>
          </w:p>
        </w:tc>
        <w:tc>
          <w:tcPr>
            <w:tcW w:w="831" w:type="dxa"/>
            <w:shd w:val="clear" w:color="auto" w:fill="auto"/>
          </w:tcPr>
          <w:p w:rsidR="007E7492" w:rsidRDefault="007E7492" w:rsidP="00E302B1">
            <w:pPr>
              <w:jc w:val="both"/>
              <w:rPr>
                <w:b/>
                <w:sz w:val="18"/>
                <w:szCs w:val="18"/>
              </w:rPr>
            </w:pPr>
            <w:r>
              <w:rPr>
                <w:b/>
                <w:sz w:val="18"/>
                <w:szCs w:val="18"/>
              </w:rPr>
              <w:t>AO13</w:t>
            </w:r>
          </w:p>
        </w:tc>
        <w:tc>
          <w:tcPr>
            <w:tcW w:w="3453" w:type="dxa"/>
            <w:shd w:val="clear" w:color="auto" w:fill="auto"/>
          </w:tcPr>
          <w:p w:rsidR="007E7492" w:rsidRDefault="007E7492" w:rsidP="00E302B1">
            <w:pPr>
              <w:tabs>
                <w:tab w:val="num" w:pos="665"/>
              </w:tabs>
              <w:jc w:val="both"/>
              <w:rPr>
                <w:sz w:val="18"/>
                <w:szCs w:val="18"/>
              </w:rPr>
            </w:pPr>
            <w:r>
              <w:rPr>
                <w:sz w:val="18"/>
                <w:szCs w:val="18"/>
              </w:rPr>
              <w:t>No acceptable outcome provided.</w:t>
            </w:r>
          </w:p>
        </w:tc>
        <w:tc>
          <w:tcPr>
            <w:tcW w:w="5922" w:type="dxa"/>
          </w:tcPr>
          <w:p w:rsidR="007E7492" w:rsidRDefault="007E7492" w:rsidP="00E302B1">
            <w:pPr>
              <w:tabs>
                <w:tab w:val="num" w:pos="665"/>
              </w:tabs>
              <w:jc w:val="both"/>
              <w:rPr>
                <w:sz w:val="18"/>
                <w:szCs w:val="18"/>
              </w:rPr>
            </w:pPr>
          </w:p>
        </w:tc>
      </w:tr>
    </w:tbl>
    <w:p w:rsidR="007E7492" w:rsidRDefault="007E7492" w:rsidP="007E7492"/>
    <w:p w:rsidR="002772C7" w:rsidRPr="00265749" w:rsidRDefault="002772C7" w:rsidP="002772C7">
      <w:pPr>
        <w:spacing w:before="100" w:after="120"/>
        <w:ind w:left="1701" w:hanging="1701"/>
        <w:outlineLvl w:val="6"/>
        <w:rPr>
          <w:b/>
          <w:bCs/>
          <w:iCs/>
        </w:rPr>
      </w:pPr>
      <w:r w:rsidRPr="00265749">
        <w:rPr>
          <w:b/>
          <w:bCs/>
          <w:iCs/>
        </w:rPr>
        <w:t>Table 6.2.5.3.2</w:t>
      </w:r>
      <w:r w:rsidRPr="00265749">
        <w:rPr>
          <w:b/>
          <w:bCs/>
          <w:iCs/>
        </w:rPr>
        <w:tab/>
        <w:t>Fraser Coast Hierarchy of Centres</w:t>
      </w:r>
      <w:r>
        <w:rPr>
          <w:b/>
          <w:bCs/>
          <w:iCs/>
        </w:rPr>
        <w:t xml:space="preserve"> </w:t>
      </w:r>
    </w:p>
    <w:tbl>
      <w:tblPr>
        <w:tblStyle w:val="TableGrid"/>
        <w:tblW w:w="14850" w:type="dxa"/>
        <w:tblLook w:val="04A0" w:firstRow="1" w:lastRow="0" w:firstColumn="1" w:lastColumn="0" w:noHBand="0" w:noVBand="1"/>
      </w:tblPr>
      <w:tblGrid>
        <w:gridCol w:w="2405"/>
        <w:gridCol w:w="12445"/>
      </w:tblGrid>
      <w:tr w:rsidR="002772C7" w:rsidTr="002772C7">
        <w:tc>
          <w:tcPr>
            <w:tcW w:w="2405" w:type="dxa"/>
            <w:shd w:val="clear" w:color="auto" w:fill="000000" w:themeFill="text1"/>
          </w:tcPr>
          <w:p w:rsidR="002772C7" w:rsidRPr="00A35C11" w:rsidRDefault="002772C7" w:rsidP="006F1DDD">
            <w:pPr>
              <w:rPr>
                <w:b/>
                <w:sz w:val="18"/>
                <w:szCs w:val="18"/>
              </w:rPr>
            </w:pPr>
            <w:r w:rsidRPr="00A35C11">
              <w:rPr>
                <w:b/>
                <w:sz w:val="18"/>
                <w:szCs w:val="18"/>
              </w:rPr>
              <w:t>Centre</w:t>
            </w:r>
          </w:p>
        </w:tc>
        <w:tc>
          <w:tcPr>
            <w:tcW w:w="12445" w:type="dxa"/>
            <w:shd w:val="clear" w:color="auto" w:fill="000000" w:themeFill="text1"/>
          </w:tcPr>
          <w:p w:rsidR="002772C7" w:rsidRPr="00A35C11" w:rsidRDefault="002772C7" w:rsidP="006F1DDD">
            <w:pPr>
              <w:rPr>
                <w:b/>
                <w:sz w:val="18"/>
                <w:szCs w:val="18"/>
              </w:rPr>
            </w:pPr>
            <w:r w:rsidRPr="00A35C11">
              <w:rPr>
                <w:b/>
                <w:sz w:val="18"/>
                <w:szCs w:val="18"/>
              </w:rPr>
              <w:t>Role and Function</w:t>
            </w:r>
          </w:p>
        </w:tc>
      </w:tr>
      <w:tr w:rsidR="002772C7" w:rsidTr="002772C7">
        <w:tc>
          <w:tcPr>
            <w:tcW w:w="2405" w:type="dxa"/>
          </w:tcPr>
          <w:p w:rsidR="002772C7" w:rsidRPr="00A35C11" w:rsidRDefault="002772C7" w:rsidP="006F1DDD">
            <w:pPr>
              <w:rPr>
                <w:sz w:val="18"/>
                <w:szCs w:val="18"/>
              </w:rPr>
            </w:pPr>
            <w:r w:rsidRPr="00A35C11">
              <w:rPr>
                <w:sz w:val="18"/>
                <w:szCs w:val="18"/>
              </w:rPr>
              <w:t>Principal Activity Centre</w:t>
            </w:r>
          </w:p>
        </w:tc>
        <w:tc>
          <w:tcPr>
            <w:tcW w:w="12445" w:type="dxa"/>
          </w:tcPr>
          <w:p w:rsidR="002772C7" w:rsidRPr="00A35C11" w:rsidRDefault="002772C7" w:rsidP="006F1DDD">
            <w:pPr>
              <w:tabs>
                <w:tab w:val="left" w:pos="280"/>
              </w:tabs>
              <w:jc w:val="both"/>
              <w:rPr>
                <w:rFonts w:cs="Arial"/>
                <w:sz w:val="18"/>
                <w:szCs w:val="18"/>
                <w:lang w:eastAsia="en-US"/>
              </w:rPr>
            </w:pPr>
            <w:r w:rsidRPr="00A35C11">
              <w:rPr>
                <w:rFonts w:cs="Arial"/>
                <w:b/>
                <w:i/>
                <w:sz w:val="18"/>
                <w:szCs w:val="18"/>
                <w:lang w:eastAsia="en-US"/>
              </w:rPr>
              <w:t>Principal Activity Centres</w:t>
            </w:r>
            <w:r w:rsidRPr="00A35C11">
              <w:rPr>
                <w:rFonts w:cs="Arial"/>
                <w:sz w:val="18"/>
                <w:szCs w:val="18"/>
                <w:lang w:eastAsia="en-US"/>
              </w:rPr>
              <w:t xml:space="preserve"> are located at Maryborough</w:t>
            </w:r>
            <w:r w:rsidRPr="00A35C11" w:rsidDel="002E6CF4">
              <w:rPr>
                <w:rFonts w:cs="Arial"/>
                <w:sz w:val="18"/>
                <w:szCs w:val="18"/>
                <w:lang w:eastAsia="en-US"/>
              </w:rPr>
              <w:t xml:space="preserve"> </w:t>
            </w:r>
            <w:r w:rsidRPr="00A35C11">
              <w:rPr>
                <w:rFonts w:cs="Arial"/>
                <w:sz w:val="18"/>
                <w:szCs w:val="18"/>
                <w:lang w:eastAsia="en-US"/>
              </w:rPr>
              <w:t>(CBD) and Pialba in Hervey Bay. They:-</w:t>
            </w:r>
          </w:p>
          <w:p w:rsidR="002772C7" w:rsidRPr="00A35C11" w:rsidRDefault="002772C7" w:rsidP="002772C7">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contain the largest and most diverse concentration of urban activities;</w:t>
            </w:r>
          </w:p>
          <w:p w:rsidR="002772C7" w:rsidRPr="00A35C11" w:rsidRDefault="002772C7" w:rsidP="002772C7">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have high population densities; and</w:t>
            </w:r>
          </w:p>
          <w:p w:rsidR="002772C7" w:rsidRPr="00A35C11" w:rsidRDefault="002772C7" w:rsidP="002772C7">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are</w:t>
            </w:r>
            <w:proofErr w:type="gramEnd"/>
            <w:r w:rsidRPr="00A35C11">
              <w:rPr>
                <w:rFonts w:cs="Arial"/>
                <w:sz w:val="18"/>
                <w:szCs w:val="18"/>
                <w:lang w:eastAsia="en-US"/>
              </w:rPr>
              <w:t xml:space="preserve"> the key regional focus for employment and development including, government administration, cultural, entertainment, health, education and public a</w:t>
            </w:r>
            <w:r>
              <w:rPr>
                <w:rFonts w:cs="Arial"/>
                <w:sz w:val="18"/>
                <w:szCs w:val="18"/>
                <w:lang w:eastAsia="en-US"/>
              </w:rPr>
              <w:t>nd active transport facilities.</w:t>
            </w:r>
          </w:p>
        </w:tc>
      </w:tr>
      <w:tr w:rsidR="002772C7" w:rsidTr="002772C7">
        <w:tc>
          <w:tcPr>
            <w:tcW w:w="2405" w:type="dxa"/>
          </w:tcPr>
          <w:p w:rsidR="002772C7" w:rsidRPr="00A35C11" w:rsidRDefault="002772C7" w:rsidP="006F1DDD">
            <w:pPr>
              <w:rPr>
                <w:sz w:val="18"/>
                <w:szCs w:val="18"/>
              </w:rPr>
            </w:pPr>
            <w:r w:rsidRPr="00A35C11">
              <w:rPr>
                <w:sz w:val="18"/>
                <w:szCs w:val="18"/>
              </w:rPr>
              <w:t>District (Rural and Coastal) Centres</w:t>
            </w:r>
          </w:p>
        </w:tc>
        <w:tc>
          <w:tcPr>
            <w:tcW w:w="12445" w:type="dxa"/>
          </w:tcPr>
          <w:p w:rsidR="002772C7" w:rsidRPr="00A35C11" w:rsidRDefault="002772C7" w:rsidP="006F1DDD">
            <w:pPr>
              <w:tabs>
                <w:tab w:val="left" w:pos="280"/>
              </w:tabs>
              <w:jc w:val="both"/>
              <w:rPr>
                <w:rFonts w:cs="Arial"/>
                <w:b/>
                <w:i/>
                <w:sz w:val="18"/>
                <w:szCs w:val="18"/>
                <w:lang w:eastAsia="en-US"/>
              </w:rPr>
            </w:pPr>
            <w:r w:rsidRPr="00A35C11">
              <w:rPr>
                <w:rFonts w:cs="Arial"/>
                <w:b/>
                <w:i/>
                <w:sz w:val="18"/>
                <w:szCs w:val="18"/>
                <w:lang w:eastAsia="en-US"/>
              </w:rPr>
              <w:t xml:space="preserve">District (Rural and Coastal) Centres </w:t>
            </w:r>
            <w:r w:rsidRPr="00A35C11">
              <w:rPr>
                <w:rFonts w:cs="Arial"/>
                <w:sz w:val="18"/>
                <w:szCs w:val="18"/>
                <w:lang w:eastAsia="en-US"/>
              </w:rPr>
              <w:t xml:space="preserve">are located at </w:t>
            </w:r>
            <w:proofErr w:type="spellStart"/>
            <w:r w:rsidRPr="00A35C11">
              <w:rPr>
                <w:rFonts w:cs="Arial"/>
                <w:sz w:val="18"/>
                <w:szCs w:val="18"/>
                <w:lang w:eastAsia="en-US"/>
              </w:rPr>
              <w:t>Burrum</w:t>
            </w:r>
            <w:proofErr w:type="spellEnd"/>
            <w:r w:rsidRPr="00A35C11">
              <w:rPr>
                <w:rFonts w:cs="Arial"/>
                <w:sz w:val="18"/>
                <w:szCs w:val="18"/>
                <w:lang w:eastAsia="en-US"/>
              </w:rPr>
              <w:t xml:space="preserve"> Heads, River Heads, Tiaro and Howard. They</w:t>
            </w:r>
            <w:r w:rsidRPr="00A35C11">
              <w:rPr>
                <w:rFonts w:cs="Arial"/>
                <w:b/>
                <w:i/>
                <w:sz w:val="18"/>
                <w:szCs w:val="18"/>
                <w:lang w:eastAsia="en-US"/>
              </w:rPr>
              <w:t>:-</w:t>
            </w:r>
          </w:p>
          <w:p w:rsidR="002772C7" w:rsidRPr="00A35C11" w:rsidRDefault="002772C7" w:rsidP="002772C7">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 xml:space="preserve">contain a concentration of businesses and employment uses that primarily service local residents, tourism or primary production industries; and </w:t>
            </w:r>
          </w:p>
          <w:p w:rsidR="002772C7" w:rsidRPr="00A35C11" w:rsidRDefault="002772C7" w:rsidP="002772C7">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may</w:t>
            </w:r>
            <w:proofErr w:type="gramEnd"/>
            <w:r w:rsidRPr="00A35C11">
              <w:rPr>
                <w:rFonts w:cs="Arial"/>
                <w:sz w:val="18"/>
                <w:szCs w:val="18"/>
                <w:lang w:eastAsia="en-US"/>
              </w:rPr>
              <w:t xml:space="preserve"> also contain limited retail, government services, entertainment, residential and community facilities</w:t>
            </w:r>
            <w:r>
              <w:rPr>
                <w:rFonts w:cs="Arial"/>
                <w:sz w:val="18"/>
                <w:szCs w:val="18"/>
                <w:lang w:eastAsia="en-US"/>
              </w:rPr>
              <w:t>.</w:t>
            </w:r>
          </w:p>
        </w:tc>
      </w:tr>
      <w:tr w:rsidR="002772C7" w:rsidTr="002772C7">
        <w:tc>
          <w:tcPr>
            <w:tcW w:w="2405" w:type="dxa"/>
          </w:tcPr>
          <w:p w:rsidR="002772C7" w:rsidRPr="00A35C11" w:rsidRDefault="002772C7" w:rsidP="006F1DDD">
            <w:pPr>
              <w:rPr>
                <w:sz w:val="18"/>
                <w:szCs w:val="18"/>
              </w:rPr>
            </w:pPr>
            <w:r w:rsidRPr="00A35C11">
              <w:rPr>
                <w:sz w:val="18"/>
                <w:szCs w:val="18"/>
              </w:rPr>
              <w:t>District (Urban) Centres</w:t>
            </w:r>
          </w:p>
        </w:tc>
        <w:tc>
          <w:tcPr>
            <w:tcW w:w="12445" w:type="dxa"/>
          </w:tcPr>
          <w:p w:rsidR="002772C7" w:rsidRPr="00A35C11" w:rsidRDefault="002772C7" w:rsidP="006F1DDD">
            <w:pPr>
              <w:tabs>
                <w:tab w:val="num" w:pos="-15876"/>
                <w:tab w:val="left" w:pos="280"/>
              </w:tabs>
              <w:jc w:val="both"/>
              <w:rPr>
                <w:rFonts w:cs="Arial"/>
                <w:b/>
                <w:i/>
                <w:sz w:val="18"/>
                <w:szCs w:val="18"/>
                <w:lang w:eastAsia="en-US"/>
              </w:rPr>
            </w:pPr>
            <w:r w:rsidRPr="00A35C11">
              <w:rPr>
                <w:rFonts w:cs="Arial"/>
                <w:b/>
                <w:i/>
                <w:sz w:val="18"/>
                <w:szCs w:val="18"/>
                <w:lang w:eastAsia="en-US"/>
              </w:rPr>
              <w:t>District (Urban) Centres</w:t>
            </w:r>
            <w:r w:rsidRPr="00A35C11">
              <w:rPr>
                <w:rFonts w:cs="Arial"/>
                <w:sz w:val="18"/>
                <w:szCs w:val="18"/>
                <w:lang w:eastAsia="en-US"/>
              </w:rPr>
              <w:t xml:space="preserve"> are located at Eli Waters (Boat Harbour Drive), </w:t>
            </w:r>
            <w:proofErr w:type="spellStart"/>
            <w:r w:rsidRPr="00A35C11">
              <w:rPr>
                <w:rFonts w:cs="Arial"/>
                <w:sz w:val="18"/>
                <w:szCs w:val="18"/>
                <w:lang w:eastAsia="en-US"/>
              </w:rPr>
              <w:t>Doolong</w:t>
            </w:r>
            <w:proofErr w:type="spellEnd"/>
            <w:r w:rsidRPr="00A35C11">
              <w:rPr>
                <w:rFonts w:cs="Arial"/>
                <w:sz w:val="18"/>
                <w:szCs w:val="18"/>
                <w:lang w:eastAsia="en-US"/>
              </w:rPr>
              <w:t xml:space="preserve"> Flats (Rasmussen’s Road), Torquay (</w:t>
            </w:r>
            <w:proofErr w:type="spellStart"/>
            <w:r w:rsidRPr="00A35C11">
              <w:rPr>
                <w:rFonts w:cs="Arial"/>
                <w:sz w:val="18"/>
                <w:szCs w:val="18"/>
                <w:lang w:eastAsia="en-US"/>
              </w:rPr>
              <w:t>Denmans</w:t>
            </w:r>
            <w:proofErr w:type="spellEnd"/>
            <w:r w:rsidRPr="00A35C11">
              <w:rPr>
                <w:rFonts w:cs="Arial"/>
                <w:sz w:val="18"/>
                <w:szCs w:val="18"/>
                <w:lang w:eastAsia="en-US"/>
              </w:rPr>
              <w:t xml:space="preserve"> Camp Road) and Urangan (Boat Harbour Drive and Elizabeth Street). They:-</w:t>
            </w:r>
          </w:p>
          <w:p w:rsidR="002772C7" w:rsidRPr="00A35C11" w:rsidRDefault="002772C7" w:rsidP="002772C7">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serve catchments of district significance within the coastal urban area; and</w:t>
            </w:r>
          </w:p>
          <w:p w:rsidR="002772C7" w:rsidRPr="00A35C11" w:rsidRDefault="002772C7" w:rsidP="002772C7">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accommodate</w:t>
            </w:r>
            <w:proofErr w:type="gramEnd"/>
            <w:r w:rsidRPr="00A35C11">
              <w:rPr>
                <w:rFonts w:cs="Arial"/>
                <w:sz w:val="18"/>
                <w:szCs w:val="18"/>
                <w:lang w:eastAsia="en-US"/>
              </w:rPr>
              <w:t xml:space="preserve"> concentrations of employment, business, services,</w:t>
            </w:r>
            <w:r>
              <w:rPr>
                <w:rFonts w:cs="Arial"/>
                <w:sz w:val="18"/>
                <w:szCs w:val="18"/>
                <w:lang w:eastAsia="en-US"/>
              </w:rPr>
              <w:t xml:space="preserve"> commercial and retail services.</w:t>
            </w:r>
          </w:p>
        </w:tc>
      </w:tr>
      <w:tr w:rsidR="002772C7" w:rsidTr="002772C7">
        <w:tc>
          <w:tcPr>
            <w:tcW w:w="2405" w:type="dxa"/>
          </w:tcPr>
          <w:p w:rsidR="002772C7" w:rsidRPr="00A35C11" w:rsidRDefault="002772C7" w:rsidP="006F1DDD">
            <w:pPr>
              <w:rPr>
                <w:sz w:val="18"/>
                <w:szCs w:val="18"/>
              </w:rPr>
            </w:pPr>
            <w:r w:rsidRPr="00A35C11">
              <w:rPr>
                <w:sz w:val="18"/>
                <w:szCs w:val="18"/>
              </w:rPr>
              <w:t>Local Centres</w:t>
            </w:r>
          </w:p>
        </w:tc>
        <w:tc>
          <w:tcPr>
            <w:tcW w:w="12445" w:type="dxa"/>
          </w:tcPr>
          <w:p w:rsidR="002772C7" w:rsidRPr="00A35C11" w:rsidRDefault="002772C7" w:rsidP="006F1DDD">
            <w:pPr>
              <w:tabs>
                <w:tab w:val="num" w:pos="-15876"/>
                <w:tab w:val="left" w:pos="280"/>
                <w:tab w:val="num" w:pos="1260"/>
              </w:tabs>
              <w:jc w:val="both"/>
              <w:rPr>
                <w:rFonts w:cs="Arial"/>
                <w:b/>
                <w:i/>
                <w:sz w:val="18"/>
                <w:szCs w:val="18"/>
                <w:lang w:eastAsia="en-US"/>
              </w:rPr>
            </w:pPr>
            <w:r w:rsidRPr="00A35C11">
              <w:rPr>
                <w:rFonts w:cs="Arial"/>
                <w:b/>
                <w:i/>
                <w:sz w:val="18"/>
                <w:szCs w:val="18"/>
                <w:lang w:eastAsia="en-US"/>
              </w:rPr>
              <w:t xml:space="preserve">Local Centres </w:t>
            </w:r>
            <w:r w:rsidRPr="00A35C11">
              <w:rPr>
                <w:rFonts w:cs="Arial"/>
                <w:sz w:val="18"/>
                <w:szCs w:val="18"/>
                <w:lang w:eastAsia="en-US"/>
              </w:rPr>
              <w:t>provide for convenience and personal service shopping needs for a surrounding residential neighbourhood and typically provide local shopping, local employment, takeaway food premises and personal and community services</w:t>
            </w:r>
            <w:r>
              <w:rPr>
                <w:rFonts w:cs="Arial"/>
                <w:b/>
                <w:i/>
                <w:sz w:val="18"/>
                <w:szCs w:val="18"/>
                <w:lang w:eastAsia="en-US"/>
              </w:rPr>
              <w:t>.</w:t>
            </w:r>
          </w:p>
        </w:tc>
      </w:tr>
      <w:tr w:rsidR="002772C7" w:rsidTr="002772C7">
        <w:tc>
          <w:tcPr>
            <w:tcW w:w="2405" w:type="dxa"/>
          </w:tcPr>
          <w:p w:rsidR="002772C7" w:rsidRPr="00A35C11" w:rsidRDefault="002772C7" w:rsidP="006F1DDD">
            <w:pPr>
              <w:rPr>
                <w:sz w:val="18"/>
                <w:szCs w:val="18"/>
              </w:rPr>
            </w:pPr>
            <w:r w:rsidRPr="00A35C11">
              <w:rPr>
                <w:sz w:val="18"/>
                <w:szCs w:val="18"/>
              </w:rPr>
              <w:lastRenderedPageBreak/>
              <w:t>Specialist Activity Centres</w:t>
            </w:r>
          </w:p>
        </w:tc>
        <w:tc>
          <w:tcPr>
            <w:tcW w:w="12445" w:type="dxa"/>
          </w:tcPr>
          <w:p w:rsidR="002772C7" w:rsidRPr="00A35C11" w:rsidRDefault="002772C7" w:rsidP="006F1DDD">
            <w:pPr>
              <w:tabs>
                <w:tab w:val="num" w:pos="-15876"/>
                <w:tab w:val="left" w:pos="280"/>
                <w:tab w:val="num" w:pos="1260"/>
              </w:tabs>
              <w:jc w:val="both"/>
              <w:rPr>
                <w:rFonts w:cs="Arial"/>
                <w:b/>
                <w:i/>
                <w:sz w:val="18"/>
                <w:szCs w:val="18"/>
                <w:lang w:eastAsia="en-US"/>
              </w:rPr>
            </w:pPr>
            <w:r w:rsidRPr="00A35C11">
              <w:rPr>
                <w:rFonts w:cs="Arial"/>
                <w:b/>
                <w:i/>
                <w:sz w:val="18"/>
                <w:szCs w:val="18"/>
                <w:lang w:eastAsia="en-US"/>
              </w:rPr>
              <w:t xml:space="preserve">Specialist Activity Centres </w:t>
            </w:r>
            <w:r w:rsidRPr="00A35C11">
              <w:rPr>
                <w:rFonts w:cs="Arial"/>
                <w:sz w:val="18"/>
                <w:szCs w:val="18"/>
                <w:lang w:eastAsia="en-US"/>
              </w:rPr>
              <w:t>are located adjacent to the Hervey Bay Airport and at the Urangan Boat Harbour. They:-</w:t>
            </w:r>
          </w:p>
          <w:p w:rsidR="002772C7" w:rsidRPr="00A35C11" w:rsidRDefault="002772C7" w:rsidP="002772C7">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provide a wide range of retail, commercial, and entertainment facilities for visitors and convenience services for residents of the immediate surrounding area;</w:t>
            </w:r>
          </w:p>
          <w:p w:rsidR="002772C7" w:rsidRPr="00A35C11" w:rsidRDefault="002772C7" w:rsidP="002772C7">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contain tourist accommodation, mixed use development, cafes and restaurants , with medium/high density housing also located at the Urangan Boat Harbour;</w:t>
            </w:r>
          </w:p>
          <w:p w:rsidR="002772C7" w:rsidRPr="00A35C11" w:rsidRDefault="002772C7" w:rsidP="002772C7">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provide opportunities for industrial uses; and</w:t>
            </w:r>
          </w:p>
          <w:p w:rsidR="002772C7" w:rsidRPr="00A35C11" w:rsidRDefault="002772C7" w:rsidP="002772C7">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function</w:t>
            </w:r>
            <w:proofErr w:type="gramEnd"/>
            <w:r w:rsidRPr="00A35C11">
              <w:rPr>
                <w:rFonts w:cs="Arial"/>
                <w:sz w:val="18"/>
                <w:szCs w:val="18"/>
                <w:lang w:eastAsia="en-US"/>
              </w:rPr>
              <w:t xml:space="preserve"> as major transport hubs. </w:t>
            </w:r>
          </w:p>
        </w:tc>
      </w:tr>
      <w:tr w:rsidR="002772C7" w:rsidTr="002772C7">
        <w:tc>
          <w:tcPr>
            <w:tcW w:w="2405" w:type="dxa"/>
          </w:tcPr>
          <w:p w:rsidR="002772C7" w:rsidRPr="00A35C11" w:rsidRDefault="002772C7" w:rsidP="006F1DDD">
            <w:pPr>
              <w:rPr>
                <w:sz w:val="18"/>
                <w:szCs w:val="18"/>
              </w:rPr>
            </w:pPr>
            <w:r w:rsidRPr="00A35C11">
              <w:rPr>
                <w:sz w:val="18"/>
                <w:szCs w:val="18"/>
              </w:rPr>
              <w:t>Tourism Activity Centre</w:t>
            </w:r>
          </w:p>
        </w:tc>
        <w:tc>
          <w:tcPr>
            <w:tcW w:w="12445" w:type="dxa"/>
          </w:tcPr>
          <w:p w:rsidR="002772C7" w:rsidRPr="00A35C11" w:rsidRDefault="002772C7" w:rsidP="006F1DDD">
            <w:pPr>
              <w:tabs>
                <w:tab w:val="num" w:pos="-15876"/>
                <w:tab w:val="left" w:pos="280"/>
                <w:tab w:val="num" w:pos="1260"/>
              </w:tabs>
              <w:jc w:val="both"/>
              <w:rPr>
                <w:rFonts w:cs="Arial"/>
                <w:b/>
                <w:i/>
                <w:sz w:val="18"/>
                <w:szCs w:val="18"/>
                <w:lang w:eastAsia="en-US"/>
              </w:rPr>
            </w:pPr>
            <w:r w:rsidRPr="00A35C11">
              <w:rPr>
                <w:rFonts w:cs="Arial"/>
                <w:b/>
                <w:i/>
                <w:sz w:val="18"/>
                <w:szCs w:val="18"/>
                <w:lang w:eastAsia="en-US"/>
              </w:rPr>
              <w:t xml:space="preserve">Tourism Activity Centres </w:t>
            </w:r>
            <w:r w:rsidRPr="00A35C11">
              <w:rPr>
                <w:rFonts w:cs="Arial"/>
                <w:sz w:val="18"/>
                <w:szCs w:val="18"/>
                <w:lang w:eastAsia="en-US"/>
              </w:rPr>
              <w:t>are located on the Esplanade at Pialba, Scarness, Torquay and Urangan. They:-</w:t>
            </w:r>
          </w:p>
          <w:p w:rsidR="002772C7" w:rsidRPr="00A35C11" w:rsidRDefault="002772C7" w:rsidP="002772C7">
            <w:pPr>
              <w:numPr>
                <w:ilvl w:val="0"/>
                <w:numId w:val="23"/>
              </w:numPr>
              <w:tabs>
                <w:tab w:val="num" w:pos="564"/>
              </w:tabs>
              <w:ind w:left="564" w:hanging="284"/>
              <w:jc w:val="both"/>
              <w:rPr>
                <w:rFonts w:cs="Arial"/>
                <w:sz w:val="18"/>
                <w:szCs w:val="18"/>
                <w:lang w:eastAsia="en-US"/>
              </w:rPr>
            </w:pPr>
            <w:r w:rsidRPr="00A35C11">
              <w:rPr>
                <w:rFonts w:cs="Arial"/>
                <w:sz w:val="18"/>
                <w:szCs w:val="18"/>
                <w:lang w:eastAsia="en-US"/>
              </w:rPr>
              <w:t>provide a wide range of retail, commercial, and entertainment facilities for visitors and convenience services for residents of the immediate surrounding area; and</w:t>
            </w:r>
          </w:p>
          <w:p w:rsidR="002772C7" w:rsidRPr="00A35C11" w:rsidRDefault="002772C7" w:rsidP="002772C7">
            <w:pPr>
              <w:numPr>
                <w:ilvl w:val="0"/>
                <w:numId w:val="23"/>
              </w:numPr>
              <w:tabs>
                <w:tab w:val="num" w:pos="564"/>
              </w:tabs>
              <w:ind w:left="564" w:hanging="284"/>
              <w:jc w:val="both"/>
              <w:rPr>
                <w:rFonts w:cs="Arial"/>
                <w:sz w:val="18"/>
                <w:szCs w:val="18"/>
                <w:lang w:eastAsia="en-US"/>
              </w:rPr>
            </w:pPr>
            <w:proofErr w:type="gramStart"/>
            <w:r w:rsidRPr="00A35C11">
              <w:rPr>
                <w:rFonts w:cs="Arial"/>
                <w:sz w:val="18"/>
                <w:szCs w:val="18"/>
                <w:lang w:eastAsia="en-US"/>
              </w:rPr>
              <w:t>contain</w:t>
            </w:r>
            <w:proofErr w:type="gramEnd"/>
            <w:r w:rsidRPr="00A35C11">
              <w:rPr>
                <w:rFonts w:cs="Arial"/>
                <w:sz w:val="18"/>
                <w:szCs w:val="18"/>
                <w:lang w:eastAsia="en-US"/>
              </w:rPr>
              <w:t xml:space="preserve"> tourist accommodation, mixed use development, medium/high density living, cafes and restaurants.</w:t>
            </w:r>
          </w:p>
        </w:tc>
      </w:tr>
    </w:tbl>
    <w:p w:rsidR="002772C7" w:rsidRDefault="002772C7" w:rsidP="007E7492"/>
    <w:p w:rsidR="002772C7" w:rsidRDefault="002772C7" w:rsidP="002772C7">
      <w:r>
        <w:br w:type="page"/>
      </w:r>
    </w:p>
    <w:p w:rsidR="002772C7" w:rsidRPr="00D70B55" w:rsidRDefault="002772C7" w:rsidP="002772C7">
      <w:pPr>
        <w:rPr>
          <w:b/>
        </w:rPr>
      </w:pPr>
      <w:r w:rsidRPr="00D70B55">
        <w:rPr>
          <w:b/>
        </w:rPr>
        <w:lastRenderedPageBreak/>
        <w:t>Figure 6c – Fraser Coast Hierarchy of Centres (District Centre Zone Code)</w:t>
      </w:r>
    </w:p>
    <w:p w:rsidR="002772C7" w:rsidRDefault="002772C7" w:rsidP="002772C7"/>
    <w:p w:rsidR="002772C7" w:rsidRPr="007E7492" w:rsidRDefault="002772C7" w:rsidP="007E7492">
      <w:r>
        <w:t xml:space="preserve"> </w:t>
      </w:r>
    </w:p>
    <w:sectPr w:rsidR="002772C7" w:rsidRPr="007E7492" w:rsidSect="00C747D1">
      <w:footerReference w:type="default" r:id="rId7"/>
      <w:pgSz w:w="16838" w:h="11906" w:orient="landscape"/>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C2" w:rsidRDefault="009505C2" w:rsidP="00833FE1">
      <w:r>
        <w:separator/>
      </w:r>
    </w:p>
  </w:endnote>
  <w:endnote w:type="continuationSeparator" w:id="0">
    <w:p w:rsidR="009505C2" w:rsidRDefault="009505C2" w:rsidP="0083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AAD" w:rsidRPr="0072730F" w:rsidRDefault="007F117A">
    <w:pPr>
      <w:pStyle w:val="Footer"/>
      <w:rPr>
        <w:sz w:val="14"/>
        <w:szCs w:val="14"/>
      </w:rPr>
    </w:pPr>
    <w:proofErr w:type="gramStart"/>
    <w:r>
      <w:rPr>
        <w:sz w:val="14"/>
        <w:szCs w:val="14"/>
      </w:rPr>
      <w:t>6.2.5</w:t>
    </w:r>
    <w:r w:rsidR="00506769">
      <w:rPr>
        <w:sz w:val="14"/>
        <w:szCs w:val="14"/>
      </w:rPr>
      <w:t xml:space="preserve"> </w:t>
    </w:r>
    <w:r w:rsidR="0072730F" w:rsidRPr="0072730F">
      <w:rPr>
        <w:sz w:val="14"/>
        <w:szCs w:val="14"/>
      </w:rPr>
      <w:t xml:space="preserve"> </w:t>
    </w:r>
    <w:r w:rsidR="00C747D1">
      <w:rPr>
        <w:sz w:val="14"/>
        <w:szCs w:val="14"/>
      </w:rPr>
      <w:t>District</w:t>
    </w:r>
    <w:proofErr w:type="gramEnd"/>
    <w:r w:rsidR="00C747D1">
      <w:rPr>
        <w:sz w:val="14"/>
        <w:szCs w:val="14"/>
      </w:rPr>
      <w:t xml:space="preserve"> </w:t>
    </w:r>
    <w:r w:rsidR="00506769">
      <w:rPr>
        <w:sz w:val="14"/>
        <w:szCs w:val="14"/>
      </w:rPr>
      <w:t>Centre</w:t>
    </w:r>
    <w:r w:rsidR="0072730F" w:rsidRPr="0072730F">
      <w:rPr>
        <w:sz w:val="14"/>
        <w:szCs w:val="14"/>
      </w:rPr>
      <w:t xml:space="preserve"> Zone Code (Applicant Response Template) – Fraser C</w:t>
    </w:r>
    <w:r w:rsidR="002E53EA">
      <w:rPr>
        <w:sz w:val="14"/>
        <w:szCs w:val="14"/>
      </w:rPr>
      <w:t>oast Planning Scheme – January 2014</w:t>
    </w:r>
    <w:r w:rsidR="007E7492">
      <w:rPr>
        <w:sz w:val="14"/>
        <w:szCs w:val="14"/>
      </w:rPr>
      <w:t xml:space="preserve"> (Version 1</w:t>
    </w:r>
    <w:r w:rsidR="0079764E">
      <w:rPr>
        <w:sz w:val="14"/>
        <w:szCs w:val="14"/>
      </w:rPr>
      <w:t>1</w:t>
    </w:r>
    <w:r w:rsidR="0072730F" w:rsidRPr="0072730F">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C2" w:rsidRDefault="009505C2" w:rsidP="00833FE1">
      <w:r>
        <w:separator/>
      </w:r>
    </w:p>
  </w:footnote>
  <w:footnote w:type="continuationSeparator" w:id="0">
    <w:p w:rsidR="009505C2" w:rsidRDefault="009505C2" w:rsidP="00833FE1">
      <w:r>
        <w:continuationSeparator/>
      </w:r>
    </w:p>
  </w:footnote>
  <w:footnote w:id="1">
    <w:p w:rsidR="007E7492" w:rsidRDefault="007E7492" w:rsidP="007E7492">
      <w:pPr>
        <w:pStyle w:val="FootnoteText"/>
        <w:ind w:left="284" w:hanging="284"/>
        <w:rPr>
          <w:sz w:val="14"/>
          <w:szCs w:val="14"/>
        </w:rPr>
      </w:pPr>
      <w:r>
        <w:rPr>
          <w:rStyle w:val="FootnoteReference"/>
          <w:sz w:val="14"/>
          <w:szCs w:val="14"/>
        </w:rPr>
        <w:footnoteRef/>
      </w:r>
      <w:r>
        <w:rPr>
          <w:sz w:val="14"/>
          <w:szCs w:val="14"/>
        </w:rPr>
        <w:t xml:space="preserve"> </w:t>
      </w:r>
      <w:r>
        <w:rPr>
          <w:sz w:val="14"/>
          <w:szCs w:val="14"/>
        </w:rPr>
        <w:tab/>
      </w:r>
      <w:r>
        <w:rPr>
          <w:rFonts w:cs="Arial"/>
          <w:sz w:val="14"/>
          <w:szCs w:val="14"/>
        </w:rPr>
        <w:t>Note - the District centre zone comprises both district (urban) centres and district (rural) centres.</w:t>
      </w:r>
    </w:p>
  </w:footnote>
  <w:footnote w:id="2">
    <w:p w:rsidR="007E7492" w:rsidRDefault="007E7492" w:rsidP="007E7492">
      <w:pPr>
        <w:tabs>
          <w:tab w:val="left" w:pos="284"/>
        </w:tabs>
        <w:ind w:left="284" w:hanging="284"/>
      </w:pPr>
      <w:r>
        <w:rPr>
          <w:rStyle w:val="FootnoteReference"/>
          <w:sz w:val="14"/>
          <w:szCs w:val="14"/>
        </w:rPr>
        <w:footnoteRef/>
      </w:r>
      <w:r>
        <w:rPr>
          <w:sz w:val="14"/>
          <w:szCs w:val="14"/>
        </w:rPr>
        <w:tab/>
        <w:t>Editor’s note - the planned density for development in the District Centre zone is identified in Table SC3.1.3 (Planned density and demand generation rate for a trunk infrastructure network) of Schedule 3 Local Government infrastructure plan mapping and tables.</w:t>
      </w:r>
    </w:p>
    <w:p w:rsidR="007E7492" w:rsidRDefault="007E7492" w:rsidP="007E7492">
      <w:pPr>
        <w:pStyle w:val="FootnoteText"/>
        <w:ind w:left="284" w:hanging="284"/>
      </w:pPr>
    </w:p>
  </w:footnote>
  <w:footnote w:id="3">
    <w:p w:rsidR="007E7492" w:rsidRDefault="007E7492" w:rsidP="007E7492">
      <w:pPr>
        <w:pStyle w:val="FootnoteText"/>
        <w:ind w:left="284" w:hanging="284"/>
      </w:pPr>
      <w:r>
        <w:rPr>
          <w:rStyle w:val="FootnoteReference"/>
          <w:sz w:val="14"/>
          <w:szCs w:val="14"/>
        </w:rPr>
        <w:footnoteRef/>
      </w:r>
      <w:r>
        <w:rPr>
          <w:sz w:val="14"/>
          <w:szCs w:val="14"/>
        </w:rPr>
        <w:tab/>
        <w:t xml:space="preserve">Editor’s note—the publication </w:t>
      </w:r>
      <w:r>
        <w:rPr>
          <w:i/>
          <w:sz w:val="14"/>
          <w:szCs w:val="14"/>
        </w:rPr>
        <w:t>Subtropical Design in South East Queensland – A Handbook for Planners, Developers and Decision Makers</w:t>
      </w:r>
      <w:r>
        <w:rPr>
          <w:sz w:val="14"/>
          <w:szCs w:val="14"/>
        </w:rPr>
        <w:t>, prepared by the Centre for Subtropical Design, provides guidance about the application of sub-tropical design principles.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FAD"/>
    <w:multiLevelType w:val="multilevel"/>
    <w:tmpl w:val="F0F6B3D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 w15:restartNumberingAfterBreak="0">
    <w:nsid w:val="0898561D"/>
    <w:multiLevelType w:val="multilevel"/>
    <w:tmpl w:val="9DECF61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10A7255"/>
    <w:multiLevelType w:val="multilevel"/>
    <w:tmpl w:val="0D5613D0"/>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A75D49"/>
    <w:multiLevelType w:val="multilevel"/>
    <w:tmpl w:val="AAD66C0E"/>
    <w:numStyleLink w:val="StyleNumbered"/>
  </w:abstractNum>
  <w:abstractNum w:abstractNumId="5" w15:restartNumberingAfterBreak="0">
    <w:nsid w:val="195A445C"/>
    <w:multiLevelType w:val="multilevel"/>
    <w:tmpl w:val="9DECF61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AF43D16"/>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FB17E1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16A1265"/>
    <w:multiLevelType w:val="multilevel"/>
    <w:tmpl w:val="B45CA766"/>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B712B"/>
    <w:multiLevelType w:val="multilevel"/>
    <w:tmpl w:val="8C82FFB6"/>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4E0FE4"/>
    <w:multiLevelType w:val="hybridMultilevel"/>
    <w:tmpl w:val="8250B224"/>
    <w:lvl w:ilvl="0" w:tplc="4B789A4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04506B"/>
    <w:multiLevelType w:val="multilevel"/>
    <w:tmpl w:val="AAD66C0E"/>
    <w:numStyleLink w:val="StyleNumbered"/>
  </w:abstractNum>
  <w:abstractNum w:abstractNumId="12" w15:restartNumberingAfterBreak="0">
    <w:nsid w:val="29C765A5"/>
    <w:multiLevelType w:val="multilevel"/>
    <w:tmpl w:val="9DECF61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CC412C9"/>
    <w:multiLevelType w:val="multilevel"/>
    <w:tmpl w:val="D17C3E1E"/>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754691"/>
    <w:multiLevelType w:val="multilevel"/>
    <w:tmpl w:val="9DECF61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2076AF0"/>
    <w:multiLevelType w:val="multilevel"/>
    <w:tmpl w:val="9DECF61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25D637E"/>
    <w:multiLevelType w:val="multilevel"/>
    <w:tmpl w:val="3E3E1CF4"/>
    <w:numStyleLink w:val="StyleStyleNumberedOutlinenumberedArial"/>
  </w:abstractNum>
  <w:abstractNum w:abstractNumId="17" w15:restartNumberingAfterBreak="0">
    <w:nsid w:val="383F07D3"/>
    <w:multiLevelType w:val="hybridMultilevel"/>
    <w:tmpl w:val="6BC49E26"/>
    <w:lvl w:ilvl="0" w:tplc="0C090001">
      <w:start w:val="1"/>
      <w:numFmt w:val="bullet"/>
      <w:lvlText w:val=""/>
      <w:lvlJc w:val="left"/>
      <w:pPr>
        <w:tabs>
          <w:tab w:val="num" w:pos="1494"/>
        </w:tabs>
        <w:ind w:left="1854" w:hanging="360"/>
      </w:pPr>
      <w:rPr>
        <w:rFonts w:ascii="Symbol" w:hAnsi="Symbol" w:hint="default"/>
        <w:b w:val="0"/>
        <w:sz w:val="18"/>
        <w:szCs w:val="18"/>
      </w:rPr>
    </w:lvl>
    <w:lvl w:ilvl="1" w:tplc="41608402">
      <w:start w:val="3"/>
      <w:numFmt w:val="lowerRoman"/>
      <w:lvlText w:val="(%2)"/>
      <w:lvlJc w:val="left"/>
      <w:pPr>
        <w:tabs>
          <w:tab w:val="num" w:pos="1260"/>
        </w:tabs>
        <w:ind w:left="1260" w:hanging="180"/>
      </w:pPr>
      <w:rPr>
        <w:rFonts w:hint="default"/>
        <w:b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D356C8E"/>
    <w:multiLevelType w:val="multilevel"/>
    <w:tmpl w:val="F0F6B3D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EA2028F"/>
    <w:multiLevelType w:val="multilevel"/>
    <w:tmpl w:val="9DECF61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ED10888"/>
    <w:multiLevelType w:val="multilevel"/>
    <w:tmpl w:val="9DECF61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904E90"/>
    <w:multiLevelType w:val="multilevel"/>
    <w:tmpl w:val="AAD66C0E"/>
    <w:numStyleLink w:val="StyleNumbered"/>
  </w:abstractNum>
  <w:abstractNum w:abstractNumId="22"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0FF01D2"/>
    <w:multiLevelType w:val="hybridMultilevel"/>
    <w:tmpl w:val="CE26FC7C"/>
    <w:lvl w:ilvl="0" w:tplc="7436D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CB0925"/>
    <w:multiLevelType w:val="multilevel"/>
    <w:tmpl w:val="AAD66C0E"/>
    <w:numStyleLink w:val="StyleNumbered"/>
  </w:abstractNum>
  <w:abstractNum w:abstractNumId="25" w15:restartNumberingAfterBreak="0">
    <w:nsid w:val="57E52F4B"/>
    <w:multiLevelType w:val="multilevel"/>
    <w:tmpl w:val="1AEE9B1A"/>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A035F4"/>
    <w:multiLevelType w:val="multilevel"/>
    <w:tmpl w:val="AAD66C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F0F1055"/>
    <w:multiLevelType w:val="multilevel"/>
    <w:tmpl w:val="9E583344"/>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ED3D07"/>
    <w:multiLevelType w:val="multilevel"/>
    <w:tmpl w:val="D4928B88"/>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860E6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303DF5"/>
    <w:multiLevelType w:val="multilevel"/>
    <w:tmpl w:val="F0F6B3D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0960C5F"/>
    <w:multiLevelType w:val="multilevel"/>
    <w:tmpl w:val="950C635C"/>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33720E"/>
    <w:multiLevelType w:val="multilevel"/>
    <w:tmpl w:val="9DECF61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8A76464"/>
    <w:multiLevelType w:val="hybridMultilevel"/>
    <w:tmpl w:val="39EA0E18"/>
    <w:lvl w:ilvl="0" w:tplc="DB4EC3E8">
      <w:start w:val="1"/>
      <w:numFmt w:val="lowerRoman"/>
      <w:lvlText w:val="(%1)"/>
      <w:lvlJc w:val="left"/>
      <w:pPr>
        <w:ind w:left="1168" w:hanging="360"/>
      </w:pPr>
      <w:rPr>
        <w:rFonts w:hint="default"/>
      </w:rPr>
    </w:lvl>
    <w:lvl w:ilvl="1" w:tplc="0C090019" w:tentative="1">
      <w:start w:val="1"/>
      <w:numFmt w:val="lowerLetter"/>
      <w:lvlText w:val="%2."/>
      <w:lvlJc w:val="left"/>
      <w:pPr>
        <w:ind w:left="1888" w:hanging="360"/>
      </w:pPr>
    </w:lvl>
    <w:lvl w:ilvl="2" w:tplc="0C09001B" w:tentative="1">
      <w:start w:val="1"/>
      <w:numFmt w:val="lowerRoman"/>
      <w:lvlText w:val="%3."/>
      <w:lvlJc w:val="right"/>
      <w:pPr>
        <w:ind w:left="2608" w:hanging="180"/>
      </w:pPr>
    </w:lvl>
    <w:lvl w:ilvl="3" w:tplc="0C09000F" w:tentative="1">
      <w:start w:val="1"/>
      <w:numFmt w:val="decimal"/>
      <w:lvlText w:val="%4."/>
      <w:lvlJc w:val="left"/>
      <w:pPr>
        <w:ind w:left="3328" w:hanging="360"/>
      </w:pPr>
    </w:lvl>
    <w:lvl w:ilvl="4" w:tplc="0C090019" w:tentative="1">
      <w:start w:val="1"/>
      <w:numFmt w:val="lowerLetter"/>
      <w:lvlText w:val="%5."/>
      <w:lvlJc w:val="left"/>
      <w:pPr>
        <w:ind w:left="4048" w:hanging="360"/>
      </w:pPr>
    </w:lvl>
    <w:lvl w:ilvl="5" w:tplc="0C09001B" w:tentative="1">
      <w:start w:val="1"/>
      <w:numFmt w:val="lowerRoman"/>
      <w:lvlText w:val="%6."/>
      <w:lvlJc w:val="right"/>
      <w:pPr>
        <w:ind w:left="4768" w:hanging="180"/>
      </w:pPr>
    </w:lvl>
    <w:lvl w:ilvl="6" w:tplc="0C09000F" w:tentative="1">
      <w:start w:val="1"/>
      <w:numFmt w:val="decimal"/>
      <w:lvlText w:val="%7."/>
      <w:lvlJc w:val="left"/>
      <w:pPr>
        <w:ind w:left="5488" w:hanging="360"/>
      </w:pPr>
    </w:lvl>
    <w:lvl w:ilvl="7" w:tplc="0C090019" w:tentative="1">
      <w:start w:val="1"/>
      <w:numFmt w:val="lowerLetter"/>
      <w:lvlText w:val="%8."/>
      <w:lvlJc w:val="left"/>
      <w:pPr>
        <w:ind w:left="6208" w:hanging="360"/>
      </w:pPr>
    </w:lvl>
    <w:lvl w:ilvl="8" w:tplc="0C09001B" w:tentative="1">
      <w:start w:val="1"/>
      <w:numFmt w:val="lowerRoman"/>
      <w:lvlText w:val="%9."/>
      <w:lvlJc w:val="right"/>
      <w:pPr>
        <w:ind w:left="6928" w:hanging="180"/>
      </w:pPr>
    </w:lvl>
  </w:abstractNum>
  <w:abstractNum w:abstractNumId="36" w15:restartNumberingAfterBreak="0">
    <w:nsid w:val="7C830FCB"/>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27"/>
  </w:num>
  <w:num w:numId="3">
    <w:abstractNumId w:val="36"/>
  </w:num>
  <w:num w:numId="4">
    <w:abstractNumId w:val="4"/>
  </w:num>
  <w:num w:numId="5">
    <w:abstractNumId w:val="2"/>
  </w:num>
  <w:num w:numId="6">
    <w:abstractNumId w:val="19"/>
  </w:num>
  <w:num w:numId="7">
    <w:abstractNumId w:val="31"/>
  </w:num>
  <w:num w:numId="8">
    <w:abstractNumId w:val="6"/>
  </w:num>
  <w:num w:numId="9">
    <w:abstractNumId w:val="12"/>
  </w:num>
  <w:num w:numId="10">
    <w:abstractNumId w:val="26"/>
  </w:num>
  <w:num w:numId="11">
    <w:abstractNumId w:val="15"/>
  </w:num>
  <w:num w:numId="12">
    <w:abstractNumId w:val="5"/>
  </w:num>
  <w:num w:numId="13">
    <w:abstractNumId w:val="10"/>
  </w:num>
  <w:num w:numId="14">
    <w:abstractNumId w:val="23"/>
  </w:num>
  <w:num w:numId="15">
    <w:abstractNumId w:val="25"/>
  </w:num>
  <w:num w:numId="16">
    <w:abstractNumId w:val="16"/>
  </w:num>
  <w:num w:numId="17">
    <w:abstractNumId w:val="22"/>
  </w:num>
  <w:num w:numId="18">
    <w:abstractNumId w:val="21"/>
  </w:num>
  <w:num w:numId="19">
    <w:abstractNumId w:val="34"/>
  </w:num>
  <w:num w:numId="20">
    <w:abstractNumId w:val="14"/>
  </w:num>
  <w:num w:numId="21">
    <w:abstractNumId w:val="20"/>
  </w:num>
  <w:num w:numId="22">
    <w:abstractNumId w:val="35"/>
  </w:num>
  <w:num w:numId="23">
    <w:abstractNumId w:val="17"/>
  </w:num>
  <w:num w:numId="24">
    <w:abstractNumId w:val="30"/>
  </w:num>
  <w:num w:numId="25">
    <w:abstractNumId w:val="11"/>
  </w:num>
  <w:num w:numId="26">
    <w:abstractNumId w:val="13"/>
  </w:num>
  <w:num w:numId="27">
    <w:abstractNumId w:val="33"/>
  </w:num>
  <w:num w:numId="28">
    <w:abstractNumId w:val="9"/>
  </w:num>
  <w:num w:numId="29">
    <w:abstractNumId w:val="7"/>
  </w:num>
  <w:num w:numId="30">
    <w:abstractNumId w:val="18"/>
  </w:num>
  <w:num w:numId="31">
    <w:abstractNumId w:val="24"/>
  </w:num>
  <w:num w:numId="32">
    <w:abstractNumId w:val="0"/>
  </w:num>
  <w:num w:numId="33">
    <w:abstractNumId w:val="32"/>
  </w:num>
  <w:num w:numId="34">
    <w:abstractNumId w:val="28"/>
  </w:num>
  <w:num w:numId="35">
    <w:abstractNumId w:val="8"/>
  </w:num>
  <w:num w:numId="36">
    <w:abstractNumId w:val="2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E1"/>
    <w:rsid w:val="001502E3"/>
    <w:rsid w:val="001711C0"/>
    <w:rsid w:val="00224CD8"/>
    <w:rsid w:val="002772C7"/>
    <w:rsid w:val="002B0A6D"/>
    <w:rsid w:val="002E53EA"/>
    <w:rsid w:val="003B7F7D"/>
    <w:rsid w:val="00501640"/>
    <w:rsid w:val="00506769"/>
    <w:rsid w:val="0072730F"/>
    <w:rsid w:val="00786801"/>
    <w:rsid w:val="0079764E"/>
    <w:rsid w:val="007E7492"/>
    <w:rsid w:val="007F117A"/>
    <w:rsid w:val="00833FE1"/>
    <w:rsid w:val="008E5E32"/>
    <w:rsid w:val="00946AA1"/>
    <w:rsid w:val="009505C2"/>
    <w:rsid w:val="00A804C8"/>
    <w:rsid w:val="00AC3AAD"/>
    <w:rsid w:val="00AC7726"/>
    <w:rsid w:val="00C747D1"/>
    <w:rsid w:val="00DE0220"/>
    <w:rsid w:val="00E41D15"/>
    <w:rsid w:val="00E769AF"/>
    <w:rsid w:val="00E835F1"/>
    <w:rsid w:val="00F73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964D"/>
  <w15:docId w15:val="{3E206AB6-A500-4738-A262-D458CBE6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E1"/>
    <w:pPr>
      <w:spacing w:after="0" w:line="240" w:lineRule="auto"/>
    </w:pPr>
    <w:rPr>
      <w:rFonts w:ascii="Arial" w:eastAsia="Times New Roman" w:hAnsi="Arial" w:cs="Times New Roman"/>
      <w:sz w:val="20"/>
      <w:szCs w:val="24"/>
      <w:lang w:eastAsia="en-AU"/>
    </w:rPr>
  </w:style>
  <w:style w:type="paragraph" w:styleId="Heading1">
    <w:name w:val="heading 1"/>
    <w:basedOn w:val="Normal"/>
    <w:next w:val="Normal"/>
    <w:link w:val="Heading1Char"/>
    <w:uiPriority w:val="99"/>
    <w:qFormat/>
    <w:rsid w:val="00833FE1"/>
    <w:pPr>
      <w:keepNext/>
      <w:numPr>
        <w:numId w:val="1"/>
      </w:numPr>
      <w:spacing w:before="100" w:after="200"/>
      <w:outlineLvl w:val="0"/>
    </w:pPr>
    <w:rPr>
      <w:rFonts w:cs="Arial"/>
      <w:b/>
      <w:bCs/>
      <w:kern w:val="32"/>
      <w:sz w:val="32"/>
      <w:szCs w:val="32"/>
    </w:rPr>
  </w:style>
  <w:style w:type="paragraph" w:styleId="Heading2">
    <w:name w:val="heading 2"/>
    <w:basedOn w:val="Normal"/>
    <w:next w:val="Normal"/>
    <w:link w:val="Heading2Char"/>
    <w:uiPriority w:val="99"/>
    <w:qFormat/>
    <w:rsid w:val="00833FE1"/>
    <w:pPr>
      <w:keepNext/>
      <w:numPr>
        <w:ilvl w:val="1"/>
        <w:numId w:val="1"/>
      </w:numPr>
      <w:spacing w:before="100" w:after="200"/>
      <w:outlineLvl w:val="1"/>
    </w:pPr>
    <w:rPr>
      <w:rFonts w:cs="Arial"/>
      <w:b/>
      <w:bCs/>
      <w:iCs/>
      <w:sz w:val="28"/>
      <w:szCs w:val="28"/>
    </w:rPr>
  </w:style>
  <w:style w:type="paragraph" w:styleId="Heading3">
    <w:name w:val="heading 3"/>
    <w:basedOn w:val="Normal"/>
    <w:next w:val="Normal"/>
    <w:link w:val="Heading3Char"/>
    <w:uiPriority w:val="99"/>
    <w:qFormat/>
    <w:rsid w:val="00833FE1"/>
    <w:pPr>
      <w:keepNext/>
      <w:numPr>
        <w:ilvl w:val="2"/>
        <w:numId w:val="1"/>
      </w:numPr>
      <w:spacing w:before="100" w:after="200"/>
      <w:outlineLvl w:val="2"/>
    </w:pPr>
    <w:rPr>
      <w:rFonts w:cs="Arial"/>
      <w:b/>
      <w:bCs/>
      <w:sz w:val="24"/>
      <w:szCs w:val="26"/>
    </w:rPr>
  </w:style>
  <w:style w:type="paragraph" w:styleId="Heading4">
    <w:name w:val="heading 4"/>
    <w:basedOn w:val="Normal"/>
    <w:next w:val="Normal"/>
    <w:link w:val="Heading4Char"/>
    <w:qFormat/>
    <w:rsid w:val="00833FE1"/>
    <w:pPr>
      <w:keepNext/>
      <w:numPr>
        <w:ilvl w:val="3"/>
        <w:numId w:val="1"/>
      </w:numPr>
      <w:spacing w:before="240" w:after="60"/>
      <w:outlineLvl w:val="3"/>
    </w:pPr>
    <w:rPr>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3FE1"/>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9"/>
    <w:rsid w:val="00833FE1"/>
    <w:rPr>
      <w:rFonts w:ascii="Arial" w:eastAsia="Times New Roman" w:hAnsi="Arial" w:cs="Arial"/>
      <w:b/>
      <w:bCs/>
      <w:iCs/>
      <w:sz w:val="28"/>
      <w:szCs w:val="28"/>
      <w:lang w:eastAsia="en-AU"/>
    </w:rPr>
  </w:style>
  <w:style w:type="character" w:customStyle="1" w:styleId="Heading3Char">
    <w:name w:val="Heading 3 Char"/>
    <w:basedOn w:val="DefaultParagraphFont"/>
    <w:link w:val="Heading3"/>
    <w:uiPriority w:val="99"/>
    <w:rsid w:val="00833FE1"/>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833FE1"/>
    <w:rPr>
      <w:rFonts w:ascii="Arial" w:eastAsia="Times New Roman" w:hAnsi="Arial" w:cs="Times New Roman"/>
      <w:b/>
      <w:bCs/>
      <w:szCs w:val="28"/>
      <w:lang w:eastAsia="en-AU"/>
    </w:rPr>
  </w:style>
  <w:style w:type="numbering" w:customStyle="1" w:styleId="StyleNumbered">
    <w:name w:val="Style Numbered"/>
    <w:basedOn w:val="NoList"/>
    <w:rsid w:val="00833FE1"/>
    <w:pPr>
      <w:numPr>
        <w:numId w:val="2"/>
      </w:numPr>
    </w:pPr>
  </w:style>
  <w:style w:type="paragraph" w:styleId="FootnoteText">
    <w:name w:val="footnote text"/>
    <w:basedOn w:val="Normal"/>
    <w:link w:val="FootnoteTextChar"/>
    <w:semiHidden/>
    <w:rsid w:val="00833FE1"/>
    <w:rPr>
      <w:szCs w:val="20"/>
    </w:rPr>
  </w:style>
  <w:style w:type="character" w:customStyle="1" w:styleId="FootnoteTextChar">
    <w:name w:val="Footnote Text Char"/>
    <w:basedOn w:val="DefaultParagraphFont"/>
    <w:link w:val="FootnoteText"/>
    <w:semiHidden/>
    <w:rsid w:val="00833FE1"/>
    <w:rPr>
      <w:rFonts w:ascii="Arial" w:eastAsia="Times New Roman" w:hAnsi="Arial" w:cs="Times New Roman"/>
      <w:sz w:val="20"/>
      <w:szCs w:val="20"/>
      <w:lang w:eastAsia="en-AU"/>
    </w:rPr>
  </w:style>
  <w:style w:type="character" w:styleId="FootnoteReference">
    <w:name w:val="footnote reference"/>
    <w:semiHidden/>
    <w:rsid w:val="00833FE1"/>
    <w:rPr>
      <w:vertAlign w:val="superscript"/>
    </w:rPr>
  </w:style>
  <w:style w:type="paragraph" w:styleId="ListParagraph">
    <w:name w:val="List Paragraph"/>
    <w:basedOn w:val="Normal"/>
    <w:uiPriority w:val="34"/>
    <w:qFormat/>
    <w:rsid w:val="00833FE1"/>
    <w:pPr>
      <w:ind w:left="720"/>
    </w:pPr>
  </w:style>
  <w:style w:type="numbering" w:styleId="1ai">
    <w:name w:val="Outline List 1"/>
    <w:basedOn w:val="NoList"/>
    <w:rsid w:val="00AC3AAD"/>
    <w:pPr>
      <w:numPr>
        <w:numId w:val="7"/>
      </w:numPr>
    </w:pPr>
  </w:style>
  <w:style w:type="numbering" w:customStyle="1" w:styleId="StyleNumbered1">
    <w:name w:val="Style Numbered1"/>
    <w:basedOn w:val="NoList"/>
    <w:rsid w:val="00AC3AAD"/>
  </w:style>
  <w:style w:type="paragraph" w:styleId="Header">
    <w:name w:val="header"/>
    <w:basedOn w:val="Normal"/>
    <w:link w:val="HeaderChar"/>
    <w:uiPriority w:val="99"/>
    <w:unhideWhenUsed/>
    <w:rsid w:val="00AC3AAD"/>
    <w:pPr>
      <w:tabs>
        <w:tab w:val="center" w:pos="4513"/>
        <w:tab w:val="right" w:pos="9026"/>
      </w:tabs>
    </w:pPr>
  </w:style>
  <w:style w:type="character" w:customStyle="1" w:styleId="HeaderChar">
    <w:name w:val="Header Char"/>
    <w:basedOn w:val="DefaultParagraphFont"/>
    <w:link w:val="Header"/>
    <w:uiPriority w:val="99"/>
    <w:rsid w:val="00AC3AAD"/>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AC3AAD"/>
    <w:pPr>
      <w:tabs>
        <w:tab w:val="center" w:pos="4513"/>
        <w:tab w:val="right" w:pos="9026"/>
      </w:tabs>
    </w:pPr>
  </w:style>
  <w:style w:type="character" w:customStyle="1" w:styleId="FooterChar">
    <w:name w:val="Footer Char"/>
    <w:basedOn w:val="DefaultParagraphFont"/>
    <w:link w:val="Footer"/>
    <w:uiPriority w:val="99"/>
    <w:rsid w:val="00AC3AAD"/>
    <w:rPr>
      <w:rFonts w:ascii="Arial" w:eastAsia="Times New Roman" w:hAnsi="Arial" w:cs="Times New Roman"/>
      <w:sz w:val="20"/>
      <w:szCs w:val="24"/>
      <w:lang w:eastAsia="en-AU"/>
    </w:rPr>
  </w:style>
  <w:style w:type="numbering" w:customStyle="1" w:styleId="StyleStyleNumberedOutlinenumberedArial">
    <w:name w:val="Style Style Numbered + Outline numbered Arial"/>
    <w:basedOn w:val="NoList"/>
    <w:rsid w:val="00E769AF"/>
    <w:pPr>
      <w:numPr>
        <w:numId w:val="17"/>
      </w:numPr>
    </w:pPr>
  </w:style>
  <w:style w:type="table" w:styleId="TableGrid">
    <w:name w:val="Table Grid"/>
    <w:basedOn w:val="TableNormal"/>
    <w:rsid w:val="00E769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E32"/>
    <w:rPr>
      <w:rFonts w:ascii="Tahoma" w:hAnsi="Tahoma" w:cs="Tahoma"/>
      <w:sz w:val="16"/>
      <w:szCs w:val="16"/>
    </w:rPr>
  </w:style>
  <w:style w:type="character" w:customStyle="1" w:styleId="BalloonTextChar">
    <w:name w:val="Balloon Text Char"/>
    <w:basedOn w:val="DefaultParagraphFont"/>
    <w:link w:val="BalloonText"/>
    <w:uiPriority w:val="99"/>
    <w:semiHidden/>
    <w:rsid w:val="008E5E32"/>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Fraser Coast Regional Council</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Payler</dc:creator>
  <cp:keywords/>
  <dc:description/>
  <cp:lastModifiedBy>Phoebe Ottaway</cp:lastModifiedBy>
  <cp:revision>21</cp:revision>
  <dcterms:created xsi:type="dcterms:W3CDTF">2017-06-14T05:10:00Z</dcterms:created>
  <dcterms:modified xsi:type="dcterms:W3CDTF">2019-07-11T05:15:00Z</dcterms:modified>
</cp:coreProperties>
</file>