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0D1" w:rsidRDefault="007500D1" w:rsidP="007500D1">
      <w:pPr>
        <w:pStyle w:val="Heading3"/>
        <w:numPr>
          <w:ilvl w:val="2"/>
          <w:numId w:val="22"/>
        </w:numPr>
        <w:ind w:left="1134" w:hanging="1134"/>
      </w:pPr>
      <w:bookmarkStart w:id="0" w:name="_Toc321921959"/>
      <w:bookmarkStart w:id="1" w:name="_Toc484774276"/>
      <w:r>
        <w:t>Specialised centre zone code</w:t>
      </w:r>
      <w:bookmarkEnd w:id="0"/>
      <w:bookmarkEnd w:id="1"/>
    </w:p>
    <w:p w:rsidR="007500D1" w:rsidRDefault="007500D1" w:rsidP="007500D1">
      <w:pPr>
        <w:pStyle w:val="Heading4"/>
        <w:numPr>
          <w:ilvl w:val="3"/>
          <w:numId w:val="22"/>
        </w:numPr>
        <w:spacing w:before="100" w:after="200"/>
        <w:ind w:left="1134" w:hanging="1134"/>
      </w:pPr>
      <w:bookmarkStart w:id="2" w:name="_Toc484774277"/>
      <w:r>
        <w:t>Application</w:t>
      </w:r>
      <w:bookmarkEnd w:id="2"/>
      <w:r>
        <w:t xml:space="preserve"> </w:t>
      </w:r>
    </w:p>
    <w:p w:rsidR="00BD7E27" w:rsidRDefault="00BD7E27" w:rsidP="00BD7E27">
      <w:r>
        <w:t>This code applies to assessable development:-</w:t>
      </w:r>
    </w:p>
    <w:p w:rsidR="00BD7E27" w:rsidRDefault="00BD7E27" w:rsidP="00BD7E27"/>
    <w:p w:rsidR="00BD7E27" w:rsidRDefault="00BD7E27" w:rsidP="00BD7E27">
      <w:pPr>
        <w:numPr>
          <w:ilvl w:val="1"/>
          <w:numId w:val="20"/>
        </w:numPr>
        <w:tabs>
          <w:tab w:val="clear" w:pos="1134"/>
        </w:tabs>
        <w:ind w:left="540" w:hanging="540"/>
      </w:pPr>
      <w:r>
        <w:t>within the Specialised centre zone as identified on the zoning maps</w:t>
      </w:r>
      <w:r>
        <w:rPr>
          <w:rFonts w:cs="Arial"/>
          <w:szCs w:val="20"/>
        </w:rPr>
        <w:t xml:space="preserve"> contained within </w:t>
      </w:r>
      <w:r>
        <w:rPr>
          <w:rFonts w:cs="Arial"/>
          <w:b/>
          <w:bCs/>
          <w:szCs w:val="20"/>
        </w:rPr>
        <w:t>Schedule 2 (Mapping)</w:t>
      </w:r>
      <w:r>
        <w:rPr>
          <w:rFonts w:cs="Arial"/>
          <w:szCs w:val="20"/>
        </w:rPr>
        <w:t>; and</w:t>
      </w:r>
    </w:p>
    <w:p w:rsidR="00BD7E27" w:rsidRDefault="00BD7E27" w:rsidP="00BD7E27"/>
    <w:p w:rsidR="00BD7E27" w:rsidRPr="00BD7E27" w:rsidRDefault="00BD7E27" w:rsidP="00BD7E27">
      <w:pPr>
        <w:numPr>
          <w:ilvl w:val="1"/>
          <w:numId w:val="20"/>
        </w:numPr>
        <w:tabs>
          <w:tab w:val="clear" w:pos="1134"/>
        </w:tabs>
        <w:ind w:left="540" w:hanging="540"/>
      </w:pPr>
      <w:proofErr w:type="gramStart"/>
      <w:r>
        <w:t>identified</w:t>
      </w:r>
      <w:proofErr w:type="gramEnd"/>
      <w:r>
        <w:t xml:space="preserve"> as requiring assessment against the Specialised centre zone code by the tables of assessment in </w:t>
      </w:r>
      <w:r>
        <w:rPr>
          <w:b/>
        </w:rPr>
        <w:t>Part 5 (Tables of assessment)</w:t>
      </w:r>
      <w:r>
        <w:t>.</w:t>
      </w:r>
    </w:p>
    <w:p w:rsidR="007500D1" w:rsidRDefault="007500D1" w:rsidP="007500D1">
      <w:pPr>
        <w:pStyle w:val="Heading4"/>
        <w:numPr>
          <w:ilvl w:val="3"/>
          <w:numId w:val="22"/>
        </w:numPr>
        <w:spacing w:after="200"/>
        <w:ind w:left="1134"/>
      </w:pPr>
      <w:bookmarkStart w:id="3" w:name="_Toc484774278"/>
      <w:r>
        <w:t>Purpose</w:t>
      </w:r>
      <w:bookmarkEnd w:id="3"/>
      <w:r>
        <w:t xml:space="preserve"> </w:t>
      </w:r>
    </w:p>
    <w:p w:rsidR="00BD7E27" w:rsidRPr="005A443E" w:rsidRDefault="00BD7E27" w:rsidP="00BD7E27">
      <w:pPr>
        <w:ind w:left="567" w:hanging="567"/>
        <w:rPr>
          <w:rFonts w:cs="Arial"/>
        </w:rPr>
      </w:pPr>
      <w:r w:rsidRPr="005A443E">
        <w:rPr>
          <w:rFonts w:cs="Arial"/>
          <w:szCs w:val="20"/>
        </w:rPr>
        <w:t>(1)</w:t>
      </w:r>
      <w:r w:rsidRPr="005A443E">
        <w:rPr>
          <w:rFonts w:cs="Arial"/>
          <w:szCs w:val="20"/>
        </w:rPr>
        <w:tab/>
        <w:t>The purpose of the specialise</w:t>
      </w:r>
      <w:r>
        <w:rPr>
          <w:rFonts w:cs="Arial"/>
          <w:szCs w:val="20"/>
        </w:rPr>
        <w:t>d centre zone is to provide for one</w:t>
      </w:r>
      <w:r w:rsidRPr="005A443E">
        <w:rPr>
          <w:rFonts w:cs="Arial"/>
          <w:szCs w:val="20"/>
        </w:rPr>
        <w:t xml:space="preserve"> or more specialised uses including, for example, conference centres, entertainment centres, education and research facilities or university campuses.</w:t>
      </w:r>
    </w:p>
    <w:p w:rsidR="00BD7E27" w:rsidRDefault="00BD7E27" w:rsidP="00BD7E27">
      <w:pPr>
        <w:ind w:left="567" w:hanging="567"/>
      </w:pPr>
    </w:p>
    <w:p w:rsidR="00BD7E27" w:rsidRDefault="00BD7E27" w:rsidP="00BD7E27">
      <w:pPr>
        <w:numPr>
          <w:ilvl w:val="0"/>
          <w:numId w:val="20"/>
        </w:numPr>
      </w:pPr>
      <w:r>
        <w:t>The purpose of the Specialised centre zone code will be achieved through the following overall outcomes:-</w:t>
      </w:r>
      <w:bookmarkStart w:id="4" w:name="_GoBack"/>
      <w:bookmarkEnd w:id="4"/>
    </w:p>
    <w:p w:rsidR="00BD7E27" w:rsidRDefault="00BD7E27" w:rsidP="00BD7E27"/>
    <w:p w:rsidR="00BD7E27" w:rsidRPr="005A443E" w:rsidRDefault="00BD7E27" w:rsidP="00BD7E27">
      <w:pPr>
        <w:numPr>
          <w:ilvl w:val="1"/>
          <w:numId w:val="20"/>
        </w:numPr>
        <w:spacing w:after="200" w:line="276" w:lineRule="auto"/>
        <w:rPr>
          <w:rFonts w:cs="Arial"/>
        </w:rPr>
      </w:pPr>
      <w:r>
        <w:rPr>
          <w:rFonts w:cs="Arial"/>
        </w:rPr>
        <w:t>d</w:t>
      </w:r>
      <w:r w:rsidRPr="005A443E">
        <w:rPr>
          <w:rFonts w:cs="Arial"/>
        </w:rPr>
        <w:t>evelopment is to provide for one or more specialised uses being activities which because of their size, requirement for high levels of accessibility to private motor vehicle traffic, or other characteristics, are best located outside of activity centres, adjacent to major roads;</w:t>
      </w:r>
    </w:p>
    <w:p w:rsidR="00BD7E27" w:rsidRDefault="00BD7E27" w:rsidP="00BD7E27">
      <w:pPr>
        <w:numPr>
          <w:ilvl w:val="1"/>
          <w:numId w:val="20"/>
        </w:numPr>
      </w:pPr>
      <w:r>
        <w:t>development provides for a range of retail business uses that have large floor plates and require high levels of visibility and accessibility to major roads;</w:t>
      </w:r>
    </w:p>
    <w:p w:rsidR="00BD7E27" w:rsidRDefault="00BD7E27" w:rsidP="00BD7E27">
      <w:pPr>
        <w:ind w:left="1134"/>
      </w:pPr>
    </w:p>
    <w:p w:rsidR="00BD7E27" w:rsidRDefault="00BD7E27" w:rsidP="00BD7E27">
      <w:pPr>
        <w:numPr>
          <w:ilvl w:val="1"/>
          <w:numId w:val="20"/>
        </w:numPr>
      </w:pPr>
      <w:r>
        <w:t>development provides for a particular mix or type of centre activities that cannot be accommodated in other centre zones;</w:t>
      </w:r>
    </w:p>
    <w:p w:rsidR="00BD7E27" w:rsidRDefault="00BD7E27" w:rsidP="00BD7E27">
      <w:pPr>
        <w:ind w:left="1134"/>
      </w:pPr>
    </w:p>
    <w:p w:rsidR="00BD7E27" w:rsidRDefault="00BD7E27" w:rsidP="00BD7E27">
      <w:pPr>
        <w:numPr>
          <w:ilvl w:val="1"/>
          <w:numId w:val="20"/>
        </w:numPr>
      </w:pPr>
      <w:r>
        <w:rPr>
          <w:rFonts w:cs="Arial"/>
          <w:szCs w:val="20"/>
        </w:rPr>
        <w:t>development is consistent with the Fraser Coast hierarchy of centres</w:t>
      </w:r>
      <w:r>
        <w:rPr>
          <w:rStyle w:val="FootnoteReference"/>
          <w:rFonts w:cs="Arial"/>
          <w:szCs w:val="20"/>
        </w:rPr>
        <w:footnoteReference w:id="1"/>
      </w:r>
      <w:r>
        <w:rPr>
          <w:rFonts w:cs="Arial"/>
          <w:szCs w:val="20"/>
        </w:rPr>
        <w:t xml:space="preserve"> </w:t>
      </w:r>
      <w:r>
        <w:t xml:space="preserve"> and does not provide for higher order and other retail facilities better suited to establishing within an activity centre;</w:t>
      </w:r>
    </w:p>
    <w:p w:rsidR="00BD7E27" w:rsidRDefault="00BD7E27" w:rsidP="00BD7E27">
      <w:pPr>
        <w:pStyle w:val="ListParagraph"/>
      </w:pPr>
    </w:p>
    <w:p w:rsidR="00BD7E27" w:rsidRDefault="00BD7E27" w:rsidP="00BD7E27">
      <w:pPr>
        <w:numPr>
          <w:ilvl w:val="1"/>
          <w:numId w:val="20"/>
        </w:numPr>
      </w:pPr>
      <w:r>
        <w:t>development provides a high level of amenity and complements the character of the surrounding area;</w:t>
      </w:r>
    </w:p>
    <w:p w:rsidR="00BD7E27" w:rsidRDefault="00BD7E27" w:rsidP="00BD7E27">
      <w:pPr>
        <w:pStyle w:val="ListParagraph"/>
      </w:pPr>
    </w:p>
    <w:p w:rsidR="00BD7E27" w:rsidRDefault="00BD7E27" w:rsidP="00BD7E27">
      <w:pPr>
        <w:numPr>
          <w:ilvl w:val="1"/>
          <w:numId w:val="20"/>
        </w:numPr>
      </w:pPr>
      <w:r>
        <w:t>development is located, designed and operated in a manner that does not adversely impact on the amenity of surrounding premises, having regard to matters such as noise, lighting, waste, fumes, odours, overlooking and public health and safety; and</w:t>
      </w:r>
    </w:p>
    <w:p w:rsidR="00BD7E27" w:rsidRDefault="00BD7E27" w:rsidP="00BD7E27">
      <w:pPr>
        <w:pStyle w:val="ListParagraph"/>
      </w:pPr>
    </w:p>
    <w:p w:rsidR="007500D1" w:rsidRDefault="00BD7E27" w:rsidP="007500D1">
      <w:pPr>
        <w:numPr>
          <w:ilvl w:val="1"/>
          <w:numId w:val="20"/>
        </w:numPr>
      </w:pPr>
      <w:proofErr w:type="gramStart"/>
      <w:r>
        <w:t>development</w:t>
      </w:r>
      <w:proofErr w:type="gramEnd"/>
      <w:r>
        <w:t xml:space="preserve"> does not adversely impact on the continued safe operation, viability and maintenance of existing infrastructure or compromise the future provision of planned infrastructure.</w:t>
      </w:r>
    </w:p>
    <w:p w:rsidR="007500D1" w:rsidRDefault="007500D1" w:rsidP="007500D1">
      <w:pPr>
        <w:pStyle w:val="Heading4"/>
        <w:numPr>
          <w:ilvl w:val="3"/>
          <w:numId w:val="22"/>
        </w:numPr>
        <w:spacing w:after="240"/>
        <w:ind w:left="1134"/>
      </w:pPr>
      <w:bookmarkStart w:id="5" w:name="_Toc484774279"/>
      <w:r>
        <w:lastRenderedPageBreak/>
        <w:t>Assessment benchmarks</w:t>
      </w:r>
      <w:bookmarkEnd w:id="5"/>
    </w:p>
    <w:p w:rsidR="007500D1" w:rsidRPr="00BD7E27" w:rsidRDefault="007500D1" w:rsidP="00BD7E27">
      <w:pPr>
        <w:spacing w:before="100" w:after="120"/>
        <w:ind w:left="1701" w:hanging="1701"/>
        <w:outlineLvl w:val="6"/>
        <w:rPr>
          <w:b/>
          <w:bCs/>
          <w:iCs/>
        </w:rPr>
      </w:pPr>
      <w:r>
        <w:rPr>
          <w:b/>
          <w:bCs/>
          <w:iCs/>
        </w:rPr>
        <w:t>Table 6.2.21.3.1</w:t>
      </w:r>
      <w:r>
        <w:rPr>
          <w:b/>
          <w:bCs/>
          <w:iCs/>
        </w:rPr>
        <w:tab/>
        <w:t>Assessment benchmarks for assessable development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675"/>
        <w:gridCol w:w="825"/>
        <w:gridCol w:w="3600"/>
        <w:gridCol w:w="5922"/>
      </w:tblGrid>
      <w:tr w:rsidR="00BD7E27" w:rsidTr="00BD7E27">
        <w:trPr>
          <w:tblHeader/>
        </w:trPr>
        <w:tc>
          <w:tcPr>
            <w:tcW w:w="4503" w:type="dxa"/>
            <w:gridSpan w:val="2"/>
            <w:tcBorders>
              <w:bottom w:val="single" w:sz="4" w:space="0" w:color="auto"/>
            </w:tcBorders>
            <w:shd w:val="clear" w:color="auto" w:fill="000000"/>
          </w:tcPr>
          <w:p w:rsidR="00BD7E27" w:rsidRDefault="00BD7E27" w:rsidP="009928A3">
            <w:pPr>
              <w:rPr>
                <w:b/>
                <w:sz w:val="18"/>
                <w:szCs w:val="18"/>
              </w:rPr>
            </w:pPr>
            <w:r>
              <w:rPr>
                <w:b/>
                <w:sz w:val="18"/>
                <w:szCs w:val="18"/>
              </w:rPr>
              <w:t>Performance outcomes</w:t>
            </w:r>
          </w:p>
        </w:tc>
        <w:tc>
          <w:tcPr>
            <w:tcW w:w="4425" w:type="dxa"/>
            <w:gridSpan w:val="2"/>
            <w:tcBorders>
              <w:bottom w:val="single" w:sz="4" w:space="0" w:color="auto"/>
            </w:tcBorders>
            <w:shd w:val="clear" w:color="auto" w:fill="000000"/>
          </w:tcPr>
          <w:p w:rsidR="00BD7E27" w:rsidRDefault="00BD7E27" w:rsidP="009928A3">
            <w:pPr>
              <w:rPr>
                <w:b/>
                <w:sz w:val="18"/>
                <w:szCs w:val="18"/>
              </w:rPr>
            </w:pPr>
            <w:r>
              <w:rPr>
                <w:b/>
                <w:sz w:val="18"/>
                <w:szCs w:val="18"/>
              </w:rPr>
              <w:t xml:space="preserve">Acceptable outcomes </w:t>
            </w:r>
          </w:p>
        </w:tc>
        <w:tc>
          <w:tcPr>
            <w:tcW w:w="5922" w:type="dxa"/>
            <w:tcBorders>
              <w:bottom w:val="single" w:sz="4" w:space="0" w:color="auto"/>
            </w:tcBorders>
            <w:shd w:val="clear" w:color="auto" w:fill="000000"/>
          </w:tcPr>
          <w:p w:rsidR="00BD7E27" w:rsidRDefault="00BD7E27" w:rsidP="009928A3">
            <w:pPr>
              <w:rPr>
                <w:b/>
                <w:sz w:val="18"/>
                <w:szCs w:val="18"/>
              </w:rPr>
            </w:pPr>
            <w:r>
              <w:rPr>
                <w:b/>
                <w:sz w:val="18"/>
                <w:szCs w:val="18"/>
              </w:rPr>
              <w:t>Applicant response</w:t>
            </w:r>
          </w:p>
        </w:tc>
      </w:tr>
      <w:tr w:rsidR="00BD7E27" w:rsidTr="00BD7E27">
        <w:tc>
          <w:tcPr>
            <w:tcW w:w="8928" w:type="dxa"/>
            <w:gridSpan w:val="4"/>
            <w:shd w:val="clear" w:color="auto" w:fill="D9D9D9"/>
          </w:tcPr>
          <w:p w:rsidR="00BD7E27" w:rsidRDefault="00BD7E27" w:rsidP="009928A3">
            <w:pPr>
              <w:rPr>
                <w:b/>
                <w:i/>
                <w:sz w:val="18"/>
                <w:szCs w:val="18"/>
              </w:rPr>
            </w:pPr>
            <w:r>
              <w:rPr>
                <w:b/>
                <w:i/>
                <w:sz w:val="18"/>
                <w:szCs w:val="18"/>
              </w:rPr>
              <w:t>Function</w:t>
            </w:r>
          </w:p>
        </w:tc>
        <w:tc>
          <w:tcPr>
            <w:tcW w:w="5922" w:type="dxa"/>
            <w:shd w:val="clear" w:color="auto" w:fill="D9D9D9"/>
          </w:tcPr>
          <w:p w:rsidR="00BD7E27" w:rsidRDefault="00BD7E27" w:rsidP="009928A3">
            <w:pPr>
              <w:rPr>
                <w:b/>
                <w:i/>
                <w:sz w:val="18"/>
                <w:szCs w:val="18"/>
              </w:rPr>
            </w:pPr>
          </w:p>
        </w:tc>
      </w:tr>
      <w:tr w:rsidR="00BD7E27" w:rsidTr="00BD7E27">
        <w:tc>
          <w:tcPr>
            <w:tcW w:w="828" w:type="dxa"/>
            <w:shd w:val="clear" w:color="auto" w:fill="auto"/>
          </w:tcPr>
          <w:p w:rsidR="00BD7E27" w:rsidRDefault="00BD7E27" w:rsidP="009928A3">
            <w:pPr>
              <w:jc w:val="both"/>
              <w:rPr>
                <w:b/>
                <w:sz w:val="18"/>
                <w:szCs w:val="18"/>
              </w:rPr>
            </w:pPr>
            <w:r>
              <w:rPr>
                <w:b/>
                <w:sz w:val="18"/>
                <w:szCs w:val="18"/>
              </w:rPr>
              <w:t>PO1</w:t>
            </w:r>
          </w:p>
        </w:tc>
        <w:tc>
          <w:tcPr>
            <w:tcW w:w="3675" w:type="dxa"/>
            <w:shd w:val="clear" w:color="auto" w:fill="auto"/>
          </w:tcPr>
          <w:p w:rsidR="00BD7E27" w:rsidRDefault="00BD7E27" w:rsidP="009928A3">
            <w:pPr>
              <w:jc w:val="both"/>
              <w:rPr>
                <w:sz w:val="18"/>
                <w:szCs w:val="18"/>
              </w:rPr>
            </w:pPr>
            <w:r w:rsidRPr="001B7C98">
              <w:rPr>
                <w:sz w:val="18"/>
                <w:szCs w:val="18"/>
              </w:rPr>
              <w:t>Development provides for a range of retail business uses, predominantly in the form of showrooms, garden centres, hardware and trade supplies and outdoor sales</w:t>
            </w:r>
            <w:r>
              <w:rPr>
                <w:sz w:val="18"/>
                <w:szCs w:val="18"/>
              </w:rPr>
              <w:t xml:space="preserve"> that have large floor plates or require high levels of visibility and accessibility to major roads.</w:t>
            </w:r>
          </w:p>
        </w:tc>
        <w:tc>
          <w:tcPr>
            <w:tcW w:w="825" w:type="dxa"/>
            <w:shd w:val="clear" w:color="auto" w:fill="auto"/>
          </w:tcPr>
          <w:p w:rsidR="00BD7E27" w:rsidRDefault="00BD7E27" w:rsidP="009928A3">
            <w:pPr>
              <w:jc w:val="both"/>
              <w:rPr>
                <w:b/>
                <w:sz w:val="18"/>
                <w:szCs w:val="18"/>
              </w:rPr>
            </w:pPr>
            <w:r>
              <w:rPr>
                <w:b/>
                <w:sz w:val="18"/>
                <w:szCs w:val="18"/>
              </w:rPr>
              <w:t>AO1</w:t>
            </w:r>
          </w:p>
        </w:tc>
        <w:tc>
          <w:tcPr>
            <w:tcW w:w="3600" w:type="dxa"/>
            <w:shd w:val="clear" w:color="auto" w:fill="auto"/>
          </w:tcPr>
          <w:p w:rsidR="00BD7E27" w:rsidRDefault="00BD7E27" w:rsidP="009928A3">
            <w:pPr>
              <w:jc w:val="both"/>
              <w:rPr>
                <w:sz w:val="18"/>
                <w:szCs w:val="18"/>
              </w:rPr>
            </w:pPr>
            <w:r>
              <w:rPr>
                <w:sz w:val="18"/>
                <w:szCs w:val="18"/>
              </w:rPr>
              <w:t>No acceptable outcome provided.</w:t>
            </w:r>
          </w:p>
        </w:tc>
        <w:tc>
          <w:tcPr>
            <w:tcW w:w="5922" w:type="dxa"/>
          </w:tcPr>
          <w:p w:rsidR="00BD7E27" w:rsidRDefault="00BD7E27" w:rsidP="009928A3">
            <w:pPr>
              <w:jc w:val="both"/>
              <w:rPr>
                <w:sz w:val="18"/>
                <w:szCs w:val="18"/>
              </w:rPr>
            </w:pPr>
          </w:p>
        </w:tc>
      </w:tr>
      <w:tr w:rsidR="00BD7E27" w:rsidTr="00BD7E27">
        <w:tc>
          <w:tcPr>
            <w:tcW w:w="828" w:type="dxa"/>
            <w:tcBorders>
              <w:bottom w:val="single" w:sz="4" w:space="0" w:color="auto"/>
            </w:tcBorders>
            <w:shd w:val="clear" w:color="auto" w:fill="auto"/>
          </w:tcPr>
          <w:p w:rsidR="00BD7E27" w:rsidRDefault="00BD7E27" w:rsidP="009928A3">
            <w:pPr>
              <w:jc w:val="center"/>
              <w:rPr>
                <w:b/>
                <w:sz w:val="18"/>
                <w:szCs w:val="18"/>
              </w:rPr>
            </w:pPr>
            <w:r>
              <w:rPr>
                <w:b/>
                <w:sz w:val="18"/>
                <w:szCs w:val="18"/>
              </w:rPr>
              <w:t>PO2</w:t>
            </w:r>
          </w:p>
        </w:tc>
        <w:tc>
          <w:tcPr>
            <w:tcW w:w="3675" w:type="dxa"/>
            <w:tcBorders>
              <w:bottom w:val="single" w:sz="4" w:space="0" w:color="auto"/>
            </w:tcBorders>
            <w:shd w:val="clear" w:color="auto" w:fill="auto"/>
          </w:tcPr>
          <w:p w:rsidR="00BD7E27" w:rsidRDefault="00BD7E27" w:rsidP="009928A3">
            <w:pPr>
              <w:jc w:val="center"/>
              <w:rPr>
                <w:sz w:val="18"/>
                <w:szCs w:val="18"/>
              </w:rPr>
            </w:pPr>
            <w:r>
              <w:rPr>
                <w:sz w:val="18"/>
                <w:szCs w:val="18"/>
              </w:rPr>
              <w:t>Development also provides for other business uses and some industrial uses which because of their scale or characteristics are not suited to establish in another centre zone.</w:t>
            </w:r>
          </w:p>
        </w:tc>
        <w:tc>
          <w:tcPr>
            <w:tcW w:w="825" w:type="dxa"/>
            <w:tcBorders>
              <w:bottom w:val="single" w:sz="4" w:space="0" w:color="auto"/>
            </w:tcBorders>
            <w:shd w:val="clear" w:color="auto" w:fill="auto"/>
          </w:tcPr>
          <w:p w:rsidR="00BD7E27" w:rsidRDefault="00BD7E27" w:rsidP="009928A3">
            <w:pPr>
              <w:jc w:val="center"/>
              <w:rPr>
                <w:b/>
                <w:sz w:val="18"/>
                <w:szCs w:val="18"/>
              </w:rPr>
            </w:pPr>
            <w:r>
              <w:rPr>
                <w:b/>
                <w:sz w:val="18"/>
                <w:szCs w:val="18"/>
              </w:rPr>
              <w:t>AO2</w:t>
            </w:r>
          </w:p>
        </w:tc>
        <w:tc>
          <w:tcPr>
            <w:tcW w:w="3600" w:type="dxa"/>
            <w:tcBorders>
              <w:bottom w:val="single" w:sz="4" w:space="0" w:color="auto"/>
            </w:tcBorders>
            <w:shd w:val="clear" w:color="auto" w:fill="auto"/>
          </w:tcPr>
          <w:p w:rsidR="00BD7E27" w:rsidRDefault="00BD7E27" w:rsidP="00BD7E27">
            <w:pPr>
              <w:rPr>
                <w:sz w:val="18"/>
                <w:szCs w:val="18"/>
              </w:rPr>
            </w:pPr>
            <w:r>
              <w:rPr>
                <w:sz w:val="18"/>
                <w:szCs w:val="18"/>
              </w:rPr>
              <w:t>No acceptable outcome provided.</w:t>
            </w:r>
          </w:p>
        </w:tc>
        <w:tc>
          <w:tcPr>
            <w:tcW w:w="5922" w:type="dxa"/>
            <w:tcBorders>
              <w:bottom w:val="single" w:sz="4" w:space="0" w:color="auto"/>
            </w:tcBorders>
          </w:tcPr>
          <w:p w:rsidR="00BD7E27" w:rsidRDefault="00BD7E27" w:rsidP="009928A3">
            <w:pPr>
              <w:jc w:val="center"/>
              <w:rPr>
                <w:sz w:val="18"/>
                <w:szCs w:val="18"/>
              </w:rPr>
            </w:pPr>
          </w:p>
        </w:tc>
      </w:tr>
      <w:tr w:rsidR="00BD7E27" w:rsidTr="00BD7E27">
        <w:tc>
          <w:tcPr>
            <w:tcW w:w="828" w:type="dxa"/>
            <w:tcBorders>
              <w:bottom w:val="single" w:sz="4" w:space="0" w:color="auto"/>
            </w:tcBorders>
            <w:shd w:val="clear" w:color="auto" w:fill="auto"/>
          </w:tcPr>
          <w:p w:rsidR="00BD7E27" w:rsidRDefault="00BD7E27" w:rsidP="009928A3">
            <w:pPr>
              <w:jc w:val="both"/>
              <w:rPr>
                <w:b/>
                <w:sz w:val="18"/>
                <w:szCs w:val="18"/>
              </w:rPr>
            </w:pPr>
            <w:r>
              <w:rPr>
                <w:b/>
                <w:sz w:val="18"/>
                <w:szCs w:val="18"/>
              </w:rPr>
              <w:t>PO3</w:t>
            </w:r>
          </w:p>
        </w:tc>
        <w:tc>
          <w:tcPr>
            <w:tcW w:w="3675" w:type="dxa"/>
            <w:tcBorders>
              <w:bottom w:val="single" w:sz="4" w:space="0" w:color="auto"/>
            </w:tcBorders>
            <w:shd w:val="clear" w:color="auto" w:fill="auto"/>
          </w:tcPr>
          <w:p w:rsidR="00BD7E27" w:rsidRPr="001B7C98" w:rsidRDefault="00BD7E27" w:rsidP="009928A3">
            <w:pPr>
              <w:jc w:val="both"/>
              <w:rPr>
                <w:sz w:val="18"/>
                <w:szCs w:val="18"/>
              </w:rPr>
            </w:pPr>
            <w:r>
              <w:rPr>
                <w:sz w:val="18"/>
                <w:szCs w:val="18"/>
              </w:rPr>
              <w:t>D</w:t>
            </w:r>
            <w:r w:rsidRPr="001B7C98">
              <w:rPr>
                <w:sz w:val="18"/>
                <w:szCs w:val="18"/>
              </w:rPr>
              <w:t xml:space="preserve">evelopment </w:t>
            </w:r>
            <w:r>
              <w:rPr>
                <w:sz w:val="18"/>
                <w:szCs w:val="18"/>
              </w:rPr>
              <w:t xml:space="preserve">in the zone is consistent with the hierarchy of centres as described in </w:t>
            </w:r>
            <w:r w:rsidRPr="00265749">
              <w:rPr>
                <w:b/>
                <w:sz w:val="18"/>
                <w:szCs w:val="18"/>
              </w:rPr>
              <w:t>Table 6.</w:t>
            </w:r>
            <w:r>
              <w:rPr>
                <w:b/>
                <w:sz w:val="18"/>
                <w:szCs w:val="18"/>
              </w:rPr>
              <w:t>2.21</w:t>
            </w:r>
            <w:r w:rsidRPr="00265749">
              <w:rPr>
                <w:b/>
                <w:sz w:val="18"/>
                <w:szCs w:val="18"/>
              </w:rPr>
              <w:t>.3.2</w:t>
            </w:r>
            <w:r>
              <w:rPr>
                <w:b/>
                <w:sz w:val="18"/>
                <w:szCs w:val="18"/>
              </w:rPr>
              <w:t xml:space="preserve"> (Fraser Coast Hierarchy of Centres)</w:t>
            </w:r>
            <w:r>
              <w:rPr>
                <w:sz w:val="18"/>
                <w:szCs w:val="18"/>
              </w:rPr>
              <w:t xml:space="preserve"> and spatially shown on </w:t>
            </w:r>
            <w:r w:rsidRPr="00265749">
              <w:rPr>
                <w:b/>
                <w:sz w:val="18"/>
                <w:szCs w:val="18"/>
              </w:rPr>
              <w:t>Figure 6</w:t>
            </w:r>
            <w:r>
              <w:rPr>
                <w:b/>
                <w:sz w:val="18"/>
                <w:szCs w:val="18"/>
              </w:rPr>
              <w:t>d</w:t>
            </w:r>
            <w:r>
              <w:rPr>
                <w:sz w:val="18"/>
                <w:szCs w:val="18"/>
              </w:rPr>
              <w:t xml:space="preserve">, and </w:t>
            </w:r>
            <w:r w:rsidRPr="001B7C98">
              <w:rPr>
                <w:sz w:val="18"/>
                <w:szCs w:val="18"/>
              </w:rPr>
              <w:t>does not provide for higher order and other retail facilities better suited to establishing within an activity centre, including supermarkets, department stores and discount department stores</w:t>
            </w:r>
            <w:r>
              <w:rPr>
                <w:sz w:val="18"/>
                <w:szCs w:val="18"/>
              </w:rPr>
              <w:t>.</w:t>
            </w:r>
          </w:p>
        </w:tc>
        <w:tc>
          <w:tcPr>
            <w:tcW w:w="825" w:type="dxa"/>
            <w:tcBorders>
              <w:bottom w:val="single" w:sz="4" w:space="0" w:color="auto"/>
            </w:tcBorders>
            <w:shd w:val="clear" w:color="auto" w:fill="auto"/>
          </w:tcPr>
          <w:p w:rsidR="00BD7E27" w:rsidRDefault="00BD7E27" w:rsidP="009928A3">
            <w:pPr>
              <w:jc w:val="both"/>
              <w:rPr>
                <w:b/>
                <w:sz w:val="18"/>
                <w:szCs w:val="18"/>
              </w:rPr>
            </w:pPr>
            <w:r>
              <w:rPr>
                <w:b/>
                <w:sz w:val="18"/>
                <w:szCs w:val="18"/>
              </w:rPr>
              <w:t>AO3</w:t>
            </w:r>
          </w:p>
        </w:tc>
        <w:tc>
          <w:tcPr>
            <w:tcW w:w="3600" w:type="dxa"/>
            <w:tcBorders>
              <w:bottom w:val="single" w:sz="4" w:space="0" w:color="auto"/>
            </w:tcBorders>
            <w:shd w:val="clear" w:color="auto" w:fill="auto"/>
          </w:tcPr>
          <w:p w:rsidR="00BD7E27" w:rsidRDefault="00BD7E27" w:rsidP="009928A3">
            <w:pPr>
              <w:jc w:val="both"/>
              <w:rPr>
                <w:sz w:val="18"/>
                <w:szCs w:val="18"/>
              </w:rPr>
            </w:pPr>
            <w:r>
              <w:rPr>
                <w:sz w:val="18"/>
                <w:szCs w:val="18"/>
              </w:rPr>
              <w:t xml:space="preserve">No acceptable outcome provided. </w:t>
            </w:r>
          </w:p>
        </w:tc>
        <w:tc>
          <w:tcPr>
            <w:tcW w:w="5922" w:type="dxa"/>
            <w:tcBorders>
              <w:bottom w:val="single" w:sz="4" w:space="0" w:color="auto"/>
            </w:tcBorders>
          </w:tcPr>
          <w:p w:rsidR="00BD7E27" w:rsidRDefault="00BD7E27" w:rsidP="009928A3">
            <w:pPr>
              <w:jc w:val="both"/>
              <w:rPr>
                <w:sz w:val="18"/>
                <w:szCs w:val="18"/>
              </w:rPr>
            </w:pPr>
          </w:p>
        </w:tc>
      </w:tr>
      <w:tr w:rsidR="00BD7E27" w:rsidTr="00BD7E27">
        <w:tc>
          <w:tcPr>
            <w:tcW w:w="8928" w:type="dxa"/>
            <w:gridSpan w:val="4"/>
            <w:shd w:val="clear" w:color="auto" w:fill="D9D9D9"/>
          </w:tcPr>
          <w:p w:rsidR="00BD7E27" w:rsidRDefault="00BD7E27" w:rsidP="009928A3">
            <w:pPr>
              <w:rPr>
                <w:rFonts w:cs="Arial"/>
                <w:b/>
                <w:i/>
                <w:sz w:val="18"/>
                <w:szCs w:val="18"/>
              </w:rPr>
            </w:pPr>
            <w:r>
              <w:rPr>
                <w:rFonts w:cs="Arial"/>
                <w:b/>
                <w:i/>
                <w:sz w:val="18"/>
                <w:szCs w:val="18"/>
              </w:rPr>
              <w:t>General</w:t>
            </w:r>
          </w:p>
        </w:tc>
        <w:tc>
          <w:tcPr>
            <w:tcW w:w="5922" w:type="dxa"/>
            <w:shd w:val="clear" w:color="auto" w:fill="D9D9D9"/>
          </w:tcPr>
          <w:p w:rsidR="00BD7E27" w:rsidRDefault="00BD7E27" w:rsidP="009928A3">
            <w:pPr>
              <w:rPr>
                <w:rFonts w:cs="Arial"/>
                <w:b/>
                <w:i/>
                <w:sz w:val="18"/>
                <w:szCs w:val="18"/>
              </w:rPr>
            </w:pPr>
          </w:p>
        </w:tc>
      </w:tr>
      <w:tr w:rsidR="00BD7E27" w:rsidTr="00BD7E27">
        <w:tc>
          <w:tcPr>
            <w:tcW w:w="828" w:type="dxa"/>
            <w:shd w:val="clear" w:color="auto" w:fill="auto"/>
          </w:tcPr>
          <w:p w:rsidR="00BD7E27" w:rsidRDefault="00BD7E27" w:rsidP="009928A3">
            <w:pPr>
              <w:jc w:val="both"/>
              <w:rPr>
                <w:b/>
                <w:sz w:val="18"/>
                <w:szCs w:val="18"/>
              </w:rPr>
            </w:pPr>
            <w:r>
              <w:rPr>
                <w:b/>
                <w:sz w:val="18"/>
                <w:szCs w:val="18"/>
              </w:rPr>
              <w:t>PO4</w:t>
            </w:r>
          </w:p>
        </w:tc>
        <w:tc>
          <w:tcPr>
            <w:tcW w:w="3675" w:type="dxa"/>
            <w:shd w:val="clear" w:color="auto" w:fill="auto"/>
          </w:tcPr>
          <w:p w:rsidR="00BD7E27" w:rsidRDefault="00BD7E27" w:rsidP="009928A3">
            <w:pPr>
              <w:jc w:val="both"/>
              <w:rPr>
                <w:sz w:val="18"/>
                <w:szCs w:val="18"/>
              </w:rPr>
            </w:pPr>
            <w:r>
              <w:rPr>
                <w:sz w:val="18"/>
                <w:szCs w:val="18"/>
              </w:rPr>
              <w:t>Development incorporates a high standard of urban design and landscaping that creates attractive and functional buildings, streets and places.</w:t>
            </w:r>
          </w:p>
        </w:tc>
        <w:tc>
          <w:tcPr>
            <w:tcW w:w="825" w:type="dxa"/>
            <w:shd w:val="clear" w:color="auto" w:fill="auto"/>
          </w:tcPr>
          <w:p w:rsidR="00BD7E27" w:rsidRDefault="00BD7E27" w:rsidP="009928A3">
            <w:pPr>
              <w:jc w:val="both"/>
              <w:rPr>
                <w:b/>
                <w:sz w:val="18"/>
                <w:szCs w:val="18"/>
              </w:rPr>
            </w:pPr>
            <w:r>
              <w:rPr>
                <w:b/>
                <w:sz w:val="18"/>
                <w:szCs w:val="18"/>
              </w:rPr>
              <w:t>AO4</w:t>
            </w:r>
          </w:p>
        </w:tc>
        <w:tc>
          <w:tcPr>
            <w:tcW w:w="3600" w:type="dxa"/>
            <w:shd w:val="clear" w:color="auto" w:fill="auto"/>
          </w:tcPr>
          <w:p w:rsidR="00BD7E27" w:rsidRDefault="00BD7E27" w:rsidP="009928A3">
            <w:pPr>
              <w:jc w:val="both"/>
              <w:rPr>
                <w:sz w:val="18"/>
                <w:szCs w:val="18"/>
              </w:rPr>
            </w:pPr>
            <w:r>
              <w:rPr>
                <w:sz w:val="18"/>
                <w:szCs w:val="18"/>
              </w:rPr>
              <w:t>No acceptable outcome provided.</w:t>
            </w:r>
          </w:p>
        </w:tc>
        <w:tc>
          <w:tcPr>
            <w:tcW w:w="5922" w:type="dxa"/>
          </w:tcPr>
          <w:p w:rsidR="00BD7E27" w:rsidRDefault="00BD7E27" w:rsidP="009928A3">
            <w:pPr>
              <w:jc w:val="both"/>
              <w:rPr>
                <w:sz w:val="18"/>
                <w:szCs w:val="18"/>
              </w:rPr>
            </w:pPr>
          </w:p>
        </w:tc>
      </w:tr>
      <w:tr w:rsidR="00BD7E27" w:rsidTr="00BD7E27">
        <w:tc>
          <w:tcPr>
            <w:tcW w:w="828" w:type="dxa"/>
            <w:tcBorders>
              <w:bottom w:val="single" w:sz="4" w:space="0" w:color="auto"/>
            </w:tcBorders>
            <w:shd w:val="clear" w:color="auto" w:fill="auto"/>
          </w:tcPr>
          <w:p w:rsidR="00BD7E27" w:rsidRDefault="00BD7E27" w:rsidP="009928A3">
            <w:pPr>
              <w:jc w:val="both"/>
              <w:rPr>
                <w:b/>
                <w:sz w:val="18"/>
                <w:szCs w:val="18"/>
              </w:rPr>
            </w:pPr>
            <w:r>
              <w:rPr>
                <w:b/>
                <w:sz w:val="18"/>
                <w:szCs w:val="18"/>
              </w:rPr>
              <w:t>PO5</w:t>
            </w:r>
          </w:p>
        </w:tc>
        <w:tc>
          <w:tcPr>
            <w:tcW w:w="3675" w:type="dxa"/>
            <w:tcBorders>
              <w:bottom w:val="single" w:sz="4" w:space="0" w:color="auto"/>
            </w:tcBorders>
            <w:shd w:val="clear" w:color="auto" w:fill="auto"/>
          </w:tcPr>
          <w:p w:rsidR="00BD7E27" w:rsidRDefault="00BD7E27" w:rsidP="009928A3">
            <w:pPr>
              <w:jc w:val="both"/>
              <w:rPr>
                <w:sz w:val="18"/>
                <w:szCs w:val="18"/>
              </w:rPr>
            </w:pPr>
            <w:r>
              <w:rPr>
                <w:sz w:val="18"/>
                <w:szCs w:val="18"/>
              </w:rPr>
              <w:t>For that part of the zone adjoining the links mobility corridor in Hervey Bay, development provides semi-active frontages, break out areas and sensitive landscape treatments that enhance the functioning of the links mobility corridor as a high quality active transport corridor and allow for passive observation of the corridor.</w:t>
            </w:r>
          </w:p>
        </w:tc>
        <w:tc>
          <w:tcPr>
            <w:tcW w:w="825" w:type="dxa"/>
            <w:tcBorders>
              <w:bottom w:val="single" w:sz="4" w:space="0" w:color="auto"/>
            </w:tcBorders>
            <w:shd w:val="clear" w:color="auto" w:fill="auto"/>
          </w:tcPr>
          <w:p w:rsidR="00BD7E27" w:rsidRDefault="00BD7E27" w:rsidP="009928A3">
            <w:pPr>
              <w:jc w:val="both"/>
              <w:rPr>
                <w:b/>
                <w:sz w:val="18"/>
                <w:szCs w:val="18"/>
              </w:rPr>
            </w:pPr>
            <w:r>
              <w:rPr>
                <w:b/>
                <w:sz w:val="18"/>
                <w:szCs w:val="18"/>
              </w:rPr>
              <w:t>AO5</w:t>
            </w:r>
          </w:p>
        </w:tc>
        <w:tc>
          <w:tcPr>
            <w:tcW w:w="3600" w:type="dxa"/>
            <w:tcBorders>
              <w:bottom w:val="single" w:sz="4" w:space="0" w:color="auto"/>
            </w:tcBorders>
            <w:shd w:val="clear" w:color="auto" w:fill="auto"/>
          </w:tcPr>
          <w:p w:rsidR="00BD7E27" w:rsidRDefault="00BD7E27" w:rsidP="009928A3">
            <w:pPr>
              <w:jc w:val="both"/>
              <w:rPr>
                <w:sz w:val="18"/>
                <w:szCs w:val="18"/>
              </w:rPr>
            </w:pPr>
            <w:r>
              <w:rPr>
                <w:sz w:val="18"/>
                <w:szCs w:val="18"/>
              </w:rPr>
              <w:t>No acceptable outcome provided.</w:t>
            </w:r>
          </w:p>
        </w:tc>
        <w:tc>
          <w:tcPr>
            <w:tcW w:w="5922" w:type="dxa"/>
            <w:tcBorders>
              <w:bottom w:val="single" w:sz="4" w:space="0" w:color="auto"/>
            </w:tcBorders>
          </w:tcPr>
          <w:p w:rsidR="00BD7E27" w:rsidRDefault="00BD7E27" w:rsidP="009928A3">
            <w:pPr>
              <w:jc w:val="both"/>
              <w:rPr>
                <w:sz w:val="18"/>
                <w:szCs w:val="18"/>
              </w:rPr>
            </w:pPr>
          </w:p>
        </w:tc>
      </w:tr>
      <w:tr w:rsidR="00BD7E27" w:rsidTr="00BD7E27">
        <w:tc>
          <w:tcPr>
            <w:tcW w:w="828" w:type="dxa"/>
            <w:shd w:val="clear" w:color="auto" w:fill="auto"/>
          </w:tcPr>
          <w:p w:rsidR="00BD7E27" w:rsidRDefault="00BD7E27" w:rsidP="009928A3">
            <w:pPr>
              <w:jc w:val="both"/>
              <w:rPr>
                <w:b/>
                <w:sz w:val="18"/>
                <w:szCs w:val="18"/>
              </w:rPr>
            </w:pPr>
            <w:r>
              <w:rPr>
                <w:b/>
                <w:sz w:val="18"/>
                <w:szCs w:val="18"/>
              </w:rPr>
              <w:t>PO6</w:t>
            </w:r>
          </w:p>
        </w:tc>
        <w:tc>
          <w:tcPr>
            <w:tcW w:w="3675" w:type="dxa"/>
            <w:shd w:val="clear" w:color="auto" w:fill="auto"/>
          </w:tcPr>
          <w:p w:rsidR="00BD7E27" w:rsidRDefault="00BD7E27" w:rsidP="009928A3">
            <w:pPr>
              <w:jc w:val="both"/>
              <w:rPr>
                <w:sz w:val="18"/>
                <w:szCs w:val="18"/>
              </w:rPr>
            </w:pPr>
            <w:r>
              <w:rPr>
                <w:sz w:val="18"/>
                <w:szCs w:val="18"/>
              </w:rPr>
              <w:t>Development is designed and operated to be responsive to the Fraser Coast’s sub-</w:t>
            </w:r>
            <w:r>
              <w:rPr>
                <w:sz w:val="18"/>
                <w:szCs w:val="18"/>
              </w:rPr>
              <w:lastRenderedPageBreak/>
              <w:t>tropical climate</w:t>
            </w:r>
            <w:r>
              <w:rPr>
                <w:sz w:val="18"/>
                <w:szCs w:val="18"/>
                <w:vertAlign w:val="superscript"/>
              </w:rPr>
              <w:footnoteReference w:id="2"/>
            </w:r>
            <w:r>
              <w:rPr>
                <w:sz w:val="18"/>
                <w:szCs w:val="18"/>
              </w:rPr>
              <w:t xml:space="preserve"> and minimise the use of water and energy.</w:t>
            </w:r>
          </w:p>
        </w:tc>
        <w:tc>
          <w:tcPr>
            <w:tcW w:w="825" w:type="dxa"/>
            <w:shd w:val="clear" w:color="auto" w:fill="auto"/>
          </w:tcPr>
          <w:p w:rsidR="00BD7E27" w:rsidRDefault="00BD7E27" w:rsidP="009928A3">
            <w:pPr>
              <w:jc w:val="both"/>
              <w:rPr>
                <w:b/>
                <w:sz w:val="18"/>
                <w:szCs w:val="18"/>
              </w:rPr>
            </w:pPr>
            <w:r>
              <w:rPr>
                <w:b/>
                <w:sz w:val="18"/>
                <w:szCs w:val="18"/>
              </w:rPr>
              <w:lastRenderedPageBreak/>
              <w:t>AO6</w:t>
            </w:r>
          </w:p>
        </w:tc>
        <w:tc>
          <w:tcPr>
            <w:tcW w:w="3600" w:type="dxa"/>
            <w:shd w:val="clear" w:color="auto" w:fill="auto"/>
          </w:tcPr>
          <w:p w:rsidR="00BD7E27" w:rsidRDefault="00BD7E27" w:rsidP="009928A3">
            <w:pPr>
              <w:tabs>
                <w:tab w:val="num" w:pos="665"/>
              </w:tabs>
              <w:jc w:val="both"/>
              <w:rPr>
                <w:sz w:val="18"/>
                <w:szCs w:val="18"/>
              </w:rPr>
            </w:pPr>
            <w:r>
              <w:rPr>
                <w:rFonts w:cs="Arial"/>
                <w:sz w:val="18"/>
                <w:szCs w:val="18"/>
              </w:rPr>
              <w:t>No acceptable outcome provided.</w:t>
            </w:r>
          </w:p>
        </w:tc>
        <w:tc>
          <w:tcPr>
            <w:tcW w:w="5922" w:type="dxa"/>
          </w:tcPr>
          <w:p w:rsidR="00BD7E27" w:rsidRDefault="00BD7E27" w:rsidP="009928A3">
            <w:pPr>
              <w:tabs>
                <w:tab w:val="num" w:pos="665"/>
              </w:tabs>
              <w:jc w:val="both"/>
              <w:rPr>
                <w:rFonts w:cs="Arial"/>
                <w:sz w:val="18"/>
                <w:szCs w:val="18"/>
              </w:rPr>
            </w:pPr>
          </w:p>
        </w:tc>
      </w:tr>
      <w:tr w:rsidR="00BD7E27" w:rsidTr="00BD7E27">
        <w:tc>
          <w:tcPr>
            <w:tcW w:w="828" w:type="dxa"/>
            <w:shd w:val="clear" w:color="auto" w:fill="auto"/>
          </w:tcPr>
          <w:p w:rsidR="00BD7E27" w:rsidRDefault="00BD7E27" w:rsidP="009928A3">
            <w:pPr>
              <w:jc w:val="both"/>
              <w:rPr>
                <w:b/>
                <w:sz w:val="18"/>
                <w:szCs w:val="18"/>
              </w:rPr>
            </w:pPr>
            <w:r>
              <w:rPr>
                <w:b/>
                <w:sz w:val="18"/>
                <w:szCs w:val="18"/>
              </w:rPr>
              <w:t>PO7</w:t>
            </w:r>
          </w:p>
        </w:tc>
        <w:tc>
          <w:tcPr>
            <w:tcW w:w="3675" w:type="dxa"/>
            <w:shd w:val="clear" w:color="auto" w:fill="auto"/>
          </w:tcPr>
          <w:p w:rsidR="00BD7E27" w:rsidRDefault="00BD7E27" w:rsidP="009928A3">
            <w:pPr>
              <w:jc w:val="both"/>
              <w:rPr>
                <w:sz w:val="18"/>
                <w:szCs w:val="18"/>
              </w:rPr>
            </w:pPr>
            <w:r>
              <w:rPr>
                <w:sz w:val="18"/>
                <w:szCs w:val="18"/>
              </w:rPr>
              <w:t>Development has a built form that is sympathetic to the intended scale and character of the streetscape and surrounding area.</w:t>
            </w:r>
          </w:p>
        </w:tc>
        <w:tc>
          <w:tcPr>
            <w:tcW w:w="825" w:type="dxa"/>
            <w:shd w:val="clear" w:color="auto" w:fill="auto"/>
          </w:tcPr>
          <w:p w:rsidR="00BD7E27" w:rsidRDefault="00BD7E27" w:rsidP="009928A3">
            <w:pPr>
              <w:jc w:val="both"/>
              <w:rPr>
                <w:b/>
                <w:sz w:val="18"/>
                <w:szCs w:val="18"/>
              </w:rPr>
            </w:pPr>
            <w:r>
              <w:rPr>
                <w:b/>
                <w:sz w:val="18"/>
                <w:szCs w:val="18"/>
              </w:rPr>
              <w:t>AO7</w:t>
            </w:r>
          </w:p>
        </w:tc>
        <w:tc>
          <w:tcPr>
            <w:tcW w:w="3600" w:type="dxa"/>
            <w:shd w:val="clear" w:color="auto" w:fill="auto"/>
          </w:tcPr>
          <w:p w:rsidR="00BD7E27" w:rsidRDefault="00BD7E27" w:rsidP="009928A3">
            <w:pPr>
              <w:tabs>
                <w:tab w:val="num" w:pos="665"/>
              </w:tabs>
              <w:jc w:val="both"/>
              <w:rPr>
                <w:sz w:val="18"/>
                <w:szCs w:val="18"/>
              </w:rPr>
            </w:pPr>
            <w:r>
              <w:rPr>
                <w:sz w:val="18"/>
                <w:szCs w:val="18"/>
              </w:rPr>
              <w:t xml:space="preserve">Development has a maximum building height of 10.0m above ground level. </w:t>
            </w:r>
          </w:p>
        </w:tc>
        <w:tc>
          <w:tcPr>
            <w:tcW w:w="5922" w:type="dxa"/>
          </w:tcPr>
          <w:p w:rsidR="00BD7E27" w:rsidRDefault="00BD7E27" w:rsidP="009928A3">
            <w:pPr>
              <w:tabs>
                <w:tab w:val="num" w:pos="665"/>
              </w:tabs>
              <w:jc w:val="both"/>
              <w:rPr>
                <w:sz w:val="18"/>
                <w:szCs w:val="18"/>
              </w:rPr>
            </w:pPr>
          </w:p>
        </w:tc>
      </w:tr>
      <w:tr w:rsidR="00BD7E27" w:rsidTr="00BD7E27">
        <w:tc>
          <w:tcPr>
            <w:tcW w:w="828" w:type="dxa"/>
            <w:shd w:val="clear" w:color="auto" w:fill="auto"/>
          </w:tcPr>
          <w:p w:rsidR="00BD7E27" w:rsidRDefault="00BD7E27" w:rsidP="009928A3">
            <w:pPr>
              <w:jc w:val="both"/>
              <w:rPr>
                <w:b/>
                <w:sz w:val="18"/>
                <w:szCs w:val="18"/>
              </w:rPr>
            </w:pPr>
            <w:r>
              <w:rPr>
                <w:b/>
                <w:sz w:val="18"/>
                <w:szCs w:val="18"/>
              </w:rPr>
              <w:t>PO8</w:t>
            </w:r>
          </w:p>
        </w:tc>
        <w:tc>
          <w:tcPr>
            <w:tcW w:w="3675" w:type="dxa"/>
            <w:shd w:val="clear" w:color="auto" w:fill="auto"/>
          </w:tcPr>
          <w:p w:rsidR="00BD7E27" w:rsidRDefault="00BD7E27" w:rsidP="009928A3">
            <w:pPr>
              <w:jc w:val="both"/>
              <w:rPr>
                <w:sz w:val="18"/>
                <w:szCs w:val="18"/>
              </w:rPr>
            </w:pPr>
            <w:r>
              <w:rPr>
                <w:sz w:val="18"/>
                <w:szCs w:val="18"/>
              </w:rPr>
              <w:t>Development mitigates any adverse impacts on areas of environmental significance, including creeks, gullies, waterways, wetlands, coastal areas, habitats and vegetation through location, design, operation and management.</w:t>
            </w:r>
          </w:p>
        </w:tc>
        <w:tc>
          <w:tcPr>
            <w:tcW w:w="825" w:type="dxa"/>
            <w:shd w:val="clear" w:color="auto" w:fill="auto"/>
          </w:tcPr>
          <w:p w:rsidR="00BD7E27" w:rsidRDefault="00BD7E27" w:rsidP="009928A3">
            <w:pPr>
              <w:jc w:val="both"/>
              <w:rPr>
                <w:b/>
                <w:sz w:val="18"/>
                <w:szCs w:val="18"/>
              </w:rPr>
            </w:pPr>
            <w:r>
              <w:rPr>
                <w:b/>
                <w:sz w:val="18"/>
                <w:szCs w:val="18"/>
              </w:rPr>
              <w:t>AO8</w:t>
            </w:r>
          </w:p>
        </w:tc>
        <w:tc>
          <w:tcPr>
            <w:tcW w:w="3600" w:type="dxa"/>
            <w:shd w:val="clear" w:color="auto" w:fill="auto"/>
          </w:tcPr>
          <w:p w:rsidR="00BD7E27" w:rsidRDefault="00BD7E27" w:rsidP="009928A3">
            <w:pPr>
              <w:tabs>
                <w:tab w:val="num" w:pos="665"/>
              </w:tabs>
              <w:jc w:val="both"/>
              <w:rPr>
                <w:sz w:val="18"/>
                <w:szCs w:val="18"/>
              </w:rPr>
            </w:pPr>
            <w:r>
              <w:rPr>
                <w:rFonts w:cs="Arial"/>
                <w:sz w:val="18"/>
                <w:szCs w:val="18"/>
              </w:rPr>
              <w:t>No acceptable outcome provided.</w:t>
            </w:r>
          </w:p>
        </w:tc>
        <w:tc>
          <w:tcPr>
            <w:tcW w:w="5922" w:type="dxa"/>
          </w:tcPr>
          <w:p w:rsidR="00BD7E27" w:rsidRDefault="00BD7E27" w:rsidP="009928A3">
            <w:pPr>
              <w:tabs>
                <w:tab w:val="num" w:pos="665"/>
              </w:tabs>
              <w:jc w:val="both"/>
              <w:rPr>
                <w:rFonts w:cs="Arial"/>
                <w:sz w:val="18"/>
                <w:szCs w:val="18"/>
              </w:rPr>
            </w:pPr>
          </w:p>
        </w:tc>
      </w:tr>
      <w:tr w:rsidR="00BD7E27" w:rsidTr="00BD7E27">
        <w:tc>
          <w:tcPr>
            <w:tcW w:w="828" w:type="dxa"/>
            <w:shd w:val="clear" w:color="auto" w:fill="auto"/>
          </w:tcPr>
          <w:p w:rsidR="00BD7E27" w:rsidRDefault="00BD7E27" w:rsidP="009928A3">
            <w:pPr>
              <w:jc w:val="both"/>
              <w:rPr>
                <w:b/>
                <w:sz w:val="18"/>
                <w:szCs w:val="18"/>
              </w:rPr>
            </w:pPr>
            <w:r>
              <w:rPr>
                <w:b/>
                <w:sz w:val="18"/>
                <w:szCs w:val="18"/>
              </w:rPr>
              <w:t>PO9</w:t>
            </w:r>
          </w:p>
        </w:tc>
        <w:tc>
          <w:tcPr>
            <w:tcW w:w="3675" w:type="dxa"/>
            <w:shd w:val="clear" w:color="auto" w:fill="auto"/>
          </w:tcPr>
          <w:p w:rsidR="00BD7E27" w:rsidRDefault="00BD7E27" w:rsidP="009928A3">
            <w:pPr>
              <w:jc w:val="both"/>
              <w:rPr>
                <w:sz w:val="18"/>
                <w:szCs w:val="18"/>
              </w:rPr>
            </w:pPr>
            <w:r>
              <w:rPr>
                <w:sz w:val="18"/>
                <w:szCs w:val="18"/>
              </w:rPr>
              <w:t>Development is provided with the full range of urban services to support the needs of the community, including parks, roads and transport corridors, pedestrian and cycle paths, reticulated water, sewerage, stormwater drainage and electricity and telecommunication infrastructure.</w:t>
            </w:r>
          </w:p>
        </w:tc>
        <w:tc>
          <w:tcPr>
            <w:tcW w:w="825" w:type="dxa"/>
            <w:shd w:val="clear" w:color="auto" w:fill="auto"/>
          </w:tcPr>
          <w:p w:rsidR="00BD7E27" w:rsidRDefault="00BD7E27" w:rsidP="009928A3">
            <w:pPr>
              <w:jc w:val="both"/>
              <w:rPr>
                <w:b/>
                <w:sz w:val="18"/>
                <w:szCs w:val="18"/>
              </w:rPr>
            </w:pPr>
            <w:r>
              <w:rPr>
                <w:b/>
                <w:sz w:val="18"/>
                <w:szCs w:val="18"/>
              </w:rPr>
              <w:t>AO9</w:t>
            </w:r>
          </w:p>
        </w:tc>
        <w:tc>
          <w:tcPr>
            <w:tcW w:w="3600" w:type="dxa"/>
            <w:shd w:val="clear" w:color="auto" w:fill="auto"/>
          </w:tcPr>
          <w:p w:rsidR="00BD7E27" w:rsidRDefault="00BD7E27" w:rsidP="009928A3">
            <w:pPr>
              <w:tabs>
                <w:tab w:val="num" w:pos="665"/>
              </w:tabs>
              <w:jc w:val="both"/>
              <w:rPr>
                <w:sz w:val="18"/>
                <w:szCs w:val="18"/>
              </w:rPr>
            </w:pPr>
            <w:r>
              <w:rPr>
                <w:rFonts w:cs="Arial"/>
                <w:sz w:val="18"/>
                <w:szCs w:val="18"/>
              </w:rPr>
              <w:t>No acceptable outcome provided.</w:t>
            </w:r>
          </w:p>
        </w:tc>
        <w:tc>
          <w:tcPr>
            <w:tcW w:w="5922" w:type="dxa"/>
          </w:tcPr>
          <w:p w:rsidR="00BD7E27" w:rsidRDefault="00BD7E27" w:rsidP="009928A3">
            <w:pPr>
              <w:tabs>
                <w:tab w:val="num" w:pos="665"/>
              </w:tabs>
              <w:jc w:val="both"/>
              <w:rPr>
                <w:rFonts w:cs="Arial"/>
                <w:sz w:val="18"/>
                <w:szCs w:val="18"/>
              </w:rPr>
            </w:pPr>
          </w:p>
        </w:tc>
      </w:tr>
      <w:tr w:rsidR="00BD7E27" w:rsidTr="00BD7E27">
        <w:tc>
          <w:tcPr>
            <w:tcW w:w="828" w:type="dxa"/>
            <w:shd w:val="clear" w:color="auto" w:fill="auto"/>
          </w:tcPr>
          <w:p w:rsidR="00BD7E27" w:rsidRDefault="00BD7E27" w:rsidP="009928A3">
            <w:pPr>
              <w:jc w:val="both"/>
              <w:rPr>
                <w:b/>
                <w:sz w:val="18"/>
                <w:szCs w:val="18"/>
              </w:rPr>
            </w:pPr>
            <w:r>
              <w:rPr>
                <w:b/>
                <w:sz w:val="18"/>
                <w:szCs w:val="18"/>
              </w:rPr>
              <w:t>PO10</w:t>
            </w:r>
          </w:p>
        </w:tc>
        <w:tc>
          <w:tcPr>
            <w:tcW w:w="3675" w:type="dxa"/>
            <w:shd w:val="clear" w:color="auto" w:fill="auto"/>
          </w:tcPr>
          <w:p w:rsidR="00BD7E27" w:rsidRDefault="00BD7E27" w:rsidP="009928A3">
            <w:pPr>
              <w:jc w:val="both"/>
              <w:rPr>
                <w:sz w:val="18"/>
                <w:szCs w:val="18"/>
              </w:rPr>
            </w:pPr>
            <w:r>
              <w:rPr>
                <w:sz w:val="18"/>
                <w:szCs w:val="18"/>
              </w:rPr>
              <w:t>Development does not adversely impact on the continued safe operation, viability and maintenance of existing infrastructure or compromise the future provision of planned infrastructure.</w:t>
            </w:r>
          </w:p>
        </w:tc>
        <w:tc>
          <w:tcPr>
            <w:tcW w:w="825" w:type="dxa"/>
            <w:shd w:val="clear" w:color="auto" w:fill="auto"/>
          </w:tcPr>
          <w:p w:rsidR="00BD7E27" w:rsidRDefault="00BD7E27" w:rsidP="009928A3">
            <w:pPr>
              <w:jc w:val="both"/>
              <w:rPr>
                <w:b/>
                <w:sz w:val="18"/>
                <w:szCs w:val="18"/>
              </w:rPr>
            </w:pPr>
            <w:r>
              <w:rPr>
                <w:b/>
                <w:sz w:val="18"/>
                <w:szCs w:val="18"/>
              </w:rPr>
              <w:t>AO10</w:t>
            </w:r>
          </w:p>
        </w:tc>
        <w:tc>
          <w:tcPr>
            <w:tcW w:w="3600" w:type="dxa"/>
            <w:shd w:val="clear" w:color="auto" w:fill="auto"/>
          </w:tcPr>
          <w:p w:rsidR="00BD7E27" w:rsidRDefault="00BD7E27" w:rsidP="009928A3">
            <w:pPr>
              <w:tabs>
                <w:tab w:val="num" w:pos="665"/>
              </w:tabs>
              <w:jc w:val="both"/>
              <w:rPr>
                <w:sz w:val="18"/>
                <w:szCs w:val="18"/>
              </w:rPr>
            </w:pPr>
            <w:r>
              <w:rPr>
                <w:rFonts w:cs="Arial"/>
                <w:sz w:val="18"/>
                <w:szCs w:val="18"/>
              </w:rPr>
              <w:t>No acceptable outcome provided.</w:t>
            </w:r>
          </w:p>
        </w:tc>
        <w:tc>
          <w:tcPr>
            <w:tcW w:w="5922" w:type="dxa"/>
          </w:tcPr>
          <w:p w:rsidR="00BD7E27" w:rsidRDefault="00BD7E27" w:rsidP="009928A3">
            <w:pPr>
              <w:tabs>
                <w:tab w:val="num" w:pos="665"/>
              </w:tabs>
              <w:jc w:val="both"/>
              <w:rPr>
                <w:rFonts w:cs="Arial"/>
                <w:sz w:val="18"/>
                <w:szCs w:val="18"/>
              </w:rPr>
            </w:pPr>
          </w:p>
        </w:tc>
      </w:tr>
    </w:tbl>
    <w:p w:rsidR="007500D1" w:rsidRDefault="007500D1" w:rsidP="007500D1">
      <w:pPr>
        <w:rPr>
          <w:b/>
          <w:bCs/>
          <w:iCs/>
        </w:rPr>
      </w:pPr>
    </w:p>
    <w:p w:rsidR="00206D8D" w:rsidRDefault="00206D8D" w:rsidP="00206D8D">
      <w:pPr>
        <w:spacing w:before="100" w:after="120"/>
        <w:ind w:left="1701" w:hanging="1701"/>
        <w:outlineLvl w:val="6"/>
        <w:rPr>
          <w:b/>
          <w:bCs/>
          <w:iCs/>
        </w:rPr>
      </w:pPr>
      <w:r w:rsidRPr="00EC15BE">
        <w:rPr>
          <w:b/>
          <w:bCs/>
          <w:iCs/>
        </w:rPr>
        <w:t xml:space="preserve">Table 6.2.21.3.2 </w:t>
      </w:r>
      <w:r>
        <w:rPr>
          <w:b/>
          <w:bCs/>
          <w:iCs/>
        </w:rPr>
        <w:tab/>
      </w:r>
      <w:r>
        <w:rPr>
          <w:b/>
          <w:bCs/>
          <w:iCs/>
        </w:rPr>
        <w:tab/>
      </w:r>
      <w:r w:rsidRPr="00EC15BE">
        <w:rPr>
          <w:b/>
          <w:bCs/>
          <w:iCs/>
        </w:rPr>
        <w:t>Fraser Coast Hierarchy of Centres</w:t>
      </w:r>
    </w:p>
    <w:tbl>
      <w:tblPr>
        <w:tblStyle w:val="TableGrid"/>
        <w:tblW w:w="14850" w:type="dxa"/>
        <w:tblLook w:val="04A0" w:firstRow="1" w:lastRow="0" w:firstColumn="1" w:lastColumn="0" w:noHBand="0" w:noVBand="1"/>
      </w:tblPr>
      <w:tblGrid>
        <w:gridCol w:w="2405"/>
        <w:gridCol w:w="12445"/>
      </w:tblGrid>
      <w:tr w:rsidR="00206D8D" w:rsidTr="00206D8D">
        <w:tc>
          <w:tcPr>
            <w:tcW w:w="2405" w:type="dxa"/>
            <w:shd w:val="clear" w:color="auto" w:fill="000000" w:themeFill="text1"/>
          </w:tcPr>
          <w:p w:rsidR="00206D8D" w:rsidRPr="00A35C11" w:rsidRDefault="00206D8D" w:rsidP="006F1DDD">
            <w:pPr>
              <w:rPr>
                <w:b/>
                <w:sz w:val="18"/>
                <w:szCs w:val="18"/>
              </w:rPr>
            </w:pPr>
            <w:r w:rsidRPr="00A35C11">
              <w:rPr>
                <w:b/>
                <w:sz w:val="18"/>
                <w:szCs w:val="18"/>
              </w:rPr>
              <w:t>Centre</w:t>
            </w:r>
          </w:p>
        </w:tc>
        <w:tc>
          <w:tcPr>
            <w:tcW w:w="12445" w:type="dxa"/>
            <w:shd w:val="clear" w:color="auto" w:fill="000000" w:themeFill="text1"/>
          </w:tcPr>
          <w:p w:rsidR="00206D8D" w:rsidRPr="00A35C11" w:rsidRDefault="00206D8D" w:rsidP="006F1DDD">
            <w:pPr>
              <w:rPr>
                <w:b/>
                <w:sz w:val="18"/>
                <w:szCs w:val="18"/>
              </w:rPr>
            </w:pPr>
            <w:r w:rsidRPr="00A35C11">
              <w:rPr>
                <w:b/>
                <w:sz w:val="18"/>
                <w:szCs w:val="18"/>
              </w:rPr>
              <w:t>Role and Function</w:t>
            </w:r>
          </w:p>
        </w:tc>
      </w:tr>
      <w:tr w:rsidR="00206D8D" w:rsidTr="00206D8D">
        <w:tc>
          <w:tcPr>
            <w:tcW w:w="2405" w:type="dxa"/>
          </w:tcPr>
          <w:p w:rsidR="00206D8D" w:rsidRPr="00A35C11" w:rsidRDefault="00206D8D" w:rsidP="006F1DDD">
            <w:pPr>
              <w:rPr>
                <w:sz w:val="18"/>
                <w:szCs w:val="18"/>
              </w:rPr>
            </w:pPr>
            <w:r w:rsidRPr="00A35C11">
              <w:rPr>
                <w:sz w:val="18"/>
                <w:szCs w:val="18"/>
              </w:rPr>
              <w:t>Principal Activity Centre</w:t>
            </w:r>
          </w:p>
        </w:tc>
        <w:tc>
          <w:tcPr>
            <w:tcW w:w="12445" w:type="dxa"/>
          </w:tcPr>
          <w:p w:rsidR="00206D8D" w:rsidRPr="00A35C11" w:rsidRDefault="00206D8D" w:rsidP="006F1DDD">
            <w:pPr>
              <w:tabs>
                <w:tab w:val="left" w:pos="280"/>
              </w:tabs>
              <w:jc w:val="both"/>
              <w:rPr>
                <w:rFonts w:cs="Arial"/>
                <w:sz w:val="18"/>
                <w:szCs w:val="18"/>
                <w:lang w:eastAsia="en-US"/>
              </w:rPr>
            </w:pPr>
            <w:r w:rsidRPr="00A35C11">
              <w:rPr>
                <w:rFonts w:cs="Arial"/>
                <w:b/>
                <w:i/>
                <w:sz w:val="18"/>
                <w:szCs w:val="18"/>
                <w:lang w:eastAsia="en-US"/>
              </w:rPr>
              <w:t>Principal Activity Centres</w:t>
            </w:r>
            <w:r w:rsidRPr="00A35C11">
              <w:rPr>
                <w:rFonts w:cs="Arial"/>
                <w:sz w:val="18"/>
                <w:szCs w:val="18"/>
                <w:lang w:eastAsia="en-US"/>
              </w:rPr>
              <w:t xml:space="preserve"> are located at Maryborough</w:t>
            </w:r>
            <w:r w:rsidRPr="00A35C11" w:rsidDel="002E6CF4">
              <w:rPr>
                <w:rFonts w:cs="Arial"/>
                <w:sz w:val="18"/>
                <w:szCs w:val="18"/>
                <w:lang w:eastAsia="en-US"/>
              </w:rPr>
              <w:t xml:space="preserve"> </w:t>
            </w:r>
            <w:r w:rsidRPr="00A35C11">
              <w:rPr>
                <w:rFonts w:cs="Arial"/>
                <w:sz w:val="18"/>
                <w:szCs w:val="18"/>
                <w:lang w:eastAsia="en-US"/>
              </w:rPr>
              <w:t>(CBD) and Pialba in Hervey Bay. They:-</w:t>
            </w:r>
          </w:p>
          <w:p w:rsidR="00206D8D" w:rsidRPr="00A35C11" w:rsidRDefault="00206D8D" w:rsidP="00206D8D">
            <w:pPr>
              <w:numPr>
                <w:ilvl w:val="0"/>
                <w:numId w:val="23"/>
              </w:numPr>
              <w:tabs>
                <w:tab w:val="num" w:pos="564"/>
              </w:tabs>
              <w:ind w:left="564" w:hanging="284"/>
              <w:jc w:val="both"/>
              <w:rPr>
                <w:rFonts w:cs="Arial"/>
                <w:sz w:val="18"/>
                <w:szCs w:val="18"/>
                <w:lang w:eastAsia="en-US"/>
              </w:rPr>
            </w:pPr>
            <w:r w:rsidRPr="00A35C11">
              <w:rPr>
                <w:rFonts w:cs="Arial"/>
                <w:sz w:val="18"/>
                <w:szCs w:val="18"/>
                <w:lang w:eastAsia="en-US"/>
              </w:rPr>
              <w:t>contain the largest and most diverse concentration of urban activities;</w:t>
            </w:r>
          </w:p>
          <w:p w:rsidR="00206D8D" w:rsidRPr="00A35C11" w:rsidRDefault="00206D8D" w:rsidP="00206D8D">
            <w:pPr>
              <w:numPr>
                <w:ilvl w:val="0"/>
                <w:numId w:val="23"/>
              </w:numPr>
              <w:tabs>
                <w:tab w:val="num" w:pos="564"/>
              </w:tabs>
              <w:ind w:left="564" w:hanging="284"/>
              <w:jc w:val="both"/>
              <w:rPr>
                <w:rFonts w:cs="Arial"/>
                <w:sz w:val="18"/>
                <w:szCs w:val="18"/>
                <w:lang w:eastAsia="en-US"/>
              </w:rPr>
            </w:pPr>
            <w:r w:rsidRPr="00A35C11">
              <w:rPr>
                <w:rFonts w:cs="Arial"/>
                <w:sz w:val="18"/>
                <w:szCs w:val="18"/>
                <w:lang w:eastAsia="en-US"/>
              </w:rPr>
              <w:t>have high population densities; and</w:t>
            </w:r>
          </w:p>
          <w:p w:rsidR="00206D8D" w:rsidRPr="00A35C11" w:rsidRDefault="00206D8D" w:rsidP="00206D8D">
            <w:pPr>
              <w:numPr>
                <w:ilvl w:val="0"/>
                <w:numId w:val="23"/>
              </w:numPr>
              <w:tabs>
                <w:tab w:val="num" w:pos="564"/>
              </w:tabs>
              <w:ind w:left="564" w:hanging="284"/>
              <w:jc w:val="both"/>
              <w:rPr>
                <w:rFonts w:cs="Arial"/>
                <w:sz w:val="18"/>
                <w:szCs w:val="18"/>
                <w:lang w:eastAsia="en-US"/>
              </w:rPr>
            </w:pPr>
            <w:proofErr w:type="gramStart"/>
            <w:r w:rsidRPr="00A35C11">
              <w:rPr>
                <w:rFonts w:cs="Arial"/>
                <w:sz w:val="18"/>
                <w:szCs w:val="18"/>
                <w:lang w:eastAsia="en-US"/>
              </w:rPr>
              <w:t>are</w:t>
            </w:r>
            <w:proofErr w:type="gramEnd"/>
            <w:r w:rsidRPr="00A35C11">
              <w:rPr>
                <w:rFonts w:cs="Arial"/>
                <w:sz w:val="18"/>
                <w:szCs w:val="18"/>
                <w:lang w:eastAsia="en-US"/>
              </w:rPr>
              <w:t xml:space="preserve"> the key regional focus for employment and development including, government administration, cultural, entertainment, health, education and public a</w:t>
            </w:r>
            <w:r>
              <w:rPr>
                <w:rFonts w:cs="Arial"/>
                <w:sz w:val="18"/>
                <w:szCs w:val="18"/>
                <w:lang w:eastAsia="en-US"/>
              </w:rPr>
              <w:t>nd active transport facilities.</w:t>
            </w:r>
          </w:p>
        </w:tc>
      </w:tr>
      <w:tr w:rsidR="00206D8D" w:rsidTr="00206D8D">
        <w:tc>
          <w:tcPr>
            <w:tcW w:w="2405" w:type="dxa"/>
          </w:tcPr>
          <w:p w:rsidR="00206D8D" w:rsidRPr="00A35C11" w:rsidRDefault="00206D8D" w:rsidP="006F1DDD">
            <w:pPr>
              <w:rPr>
                <w:sz w:val="18"/>
                <w:szCs w:val="18"/>
              </w:rPr>
            </w:pPr>
            <w:r w:rsidRPr="00A35C11">
              <w:rPr>
                <w:sz w:val="18"/>
                <w:szCs w:val="18"/>
              </w:rPr>
              <w:t>District (Rural and Coastal) Centres</w:t>
            </w:r>
          </w:p>
        </w:tc>
        <w:tc>
          <w:tcPr>
            <w:tcW w:w="12445" w:type="dxa"/>
          </w:tcPr>
          <w:p w:rsidR="00206D8D" w:rsidRPr="00A35C11" w:rsidRDefault="00206D8D" w:rsidP="006F1DDD">
            <w:pPr>
              <w:tabs>
                <w:tab w:val="left" w:pos="280"/>
              </w:tabs>
              <w:jc w:val="both"/>
              <w:rPr>
                <w:rFonts w:cs="Arial"/>
                <w:b/>
                <w:i/>
                <w:sz w:val="18"/>
                <w:szCs w:val="18"/>
                <w:lang w:eastAsia="en-US"/>
              </w:rPr>
            </w:pPr>
            <w:r w:rsidRPr="00A35C11">
              <w:rPr>
                <w:rFonts w:cs="Arial"/>
                <w:b/>
                <w:i/>
                <w:sz w:val="18"/>
                <w:szCs w:val="18"/>
                <w:lang w:eastAsia="en-US"/>
              </w:rPr>
              <w:t xml:space="preserve">District (Rural and Coastal) Centres </w:t>
            </w:r>
            <w:r w:rsidRPr="00A35C11">
              <w:rPr>
                <w:rFonts w:cs="Arial"/>
                <w:sz w:val="18"/>
                <w:szCs w:val="18"/>
                <w:lang w:eastAsia="en-US"/>
              </w:rPr>
              <w:t xml:space="preserve">are located at </w:t>
            </w:r>
            <w:proofErr w:type="spellStart"/>
            <w:r w:rsidRPr="00A35C11">
              <w:rPr>
                <w:rFonts w:cs="Arial"/>
                <w:sz w:val="18"/>
                <w:szCs w:val="18"/>
                <w:lang w:eastAsia="en-US"/>
              </w:rPr>
              <w:t>Burrum</w:t>
            </w:r>
            <w:proofErr w:type="spellEnd"/>
            <w:r w:rsidRPr="00A35C11">
              <w:rPr>
                <w:rFonts w:cs="Arial"/>
                <w:sz w:val="18"/>
                <w:szCs w:val="18"/>
                <w:lang w:eastAsia="en-US"/>
              </w:rPr>
              <w:t xml:space="preserve"> Heads, River Heads, Tiaro and Howard. They</w:t>
            </w:r>
            <w:r w:rsidRPr="00A35C11">
              <w:rPr>
                <w:rFonts w:cs="Arial"/>
                <w:b/>
                <w:i/>
                <w:sz w:val="18"/>
                <w:szCs w:val="18"/>
                <w:lang w:eastAsia="en-US"/>
              </w:rPr>
              <w:t>:-</w:t>
            </w:r>
          </w:p>
          <w:p w:rsidR="00206D8D" w:rsidRPr="00A35C11" w:rsidRDefault="00206D8D" w:rsidP="00206D8D">
            <w:pPr>
              <w:numPr>
                <w:ilvl w:val="0"/>
                <w:numId w:val="23"/>
              </w:numPr>
              <w:tabs>
                <w:tab w:val="num" w:pos="564"/>
              </w:tabs>
              <w:ind w:left="564" w:hanging="284"/>
              <w:jc w:val="both"/>
              <w:rPr>
                <w:rFonts w:cs="Arial"/>
                <w:sz w:val="18"/>
                <w:szCs w:val="18"/>
                <w:lang w:eastAsia="en-US"/>
              </w:rPr>
            </w:pPr>
            <w:r w:rsidRPr="00A35C11">
              <w:rPr>
                <w:rFonts w:cs="Arial"/>
                <w:sz w:val="18"/>
                <w:szCs w:val="18"/>
                <w:lang w:eastAsia="en-US"/>
              </w:rPr>
              <w:t xml:space="preserve">contain a concentration of businesses and employment uses that primarily service local residents, tourism or primary production industries; and </w:t>
            </w:r>
          </w:p>
          <w:p w:rsidR="00206D8D" w:rsidRPr="00A35C11" w:rsidRDefault="00206D8D" w:rsidP="00206D8D">
            <w:pPr>
              <w:numPr>
                <w:ilvl w:val="0"/>
                <w:numId w:val="23"/>
              </w:numPr>
              <w:tabs>
                <w:tab w:val="num" w:pos="564"/>
              </w:tabs>
              <w:ind w:left="564" w:hanging="284"/>
              <w:jc w:val="both"/>
              <w:rPr>
                <w:rFonts w:cs="Arial"/>
                <w:sz w:val="18"/>
                <w:szCs w:val="18"/>
                <w:lang w:eastAsia="en-US"/>
              </w:rPr>
            </w:pPr>
            <w:proofErr w:type="gramStart"/>
            <w:r w:rsidRPr="00A35C11">
              <w:rPr>
                <w:rFonts w:cs="Arial"/>
                <w:sz w:val="18"/>
                <w:szCs w:val="18"/>
                <w:lang w:eastAsia="en-US"/>
              </w:rPr>
              <w:t>may</w:t>
            </w:r>
            <w:proofErr w:type="gramEnd"/>
            <w:r w:rsidRPr="00A35C11">
              <w:rPr>
                <w:rFonts w:cs="Arial"/>
                <w:sz w:val="18"/>
                <w:szCs w:val="18"/>
                <w:lang w:eastAsia="en-US"/>
              </w:rPr>
              <w:t xml:space="preserve"> also contain limited retail, government services, entertainment, residential and community facilities</w:t>
            </w:r>
            <w:r>
              <w:rPr>
                <w:rFonts w:cs="Arial"/>
                <w:sz w:val="18"/>
                <w:szCs w:val="18"/>
                <w:lang w:eastAsia="en-US"/>
              </w:rPr>
              <w:t>.</w:t>
            </w:r>
          </w:p>
        </w:tc>
      </w:tr>
      <w:tr w:rsidR="00206D8D" w:rsidTr="00206D8D">
        <w:tc>
          <w:tcPr>
            <w:tcW w:w="2405" w:type="dxa"/>
          </w:tcPr>
          <w:p w:rsidR="00206D8D" w:rsidRPr="00A35C11" w:rsidRDefault="00206D8D" w:rsidP="006F1DDD">
            <w:pPr>
              <w:rPr>
                <w:sz w:val="18"/>
                <w:szCs w:val="18"/>
              </w:rPr>
            </w:pPr>
            <w:r w:rsidRPr="00A35C11">
              <w:rPr>
                <w:sz w:val="18"/>
                <w:szCs w:val="18"/>
              </w:rPr>
              <w:t>District (Urban) Centres</w:t>
            </w:r>
          </w:p>
        </w:tc>
        <w:tc>
          <w:tcPr>
            <w:tcW w:w="12445" w:type="dxa"/>
          </w:tcPr>
          <w:p w:rsidR="00206D8D" w:rsidRPr="00A35C11" w:rsidRDefault="00206D8D" w:rsidP="006F1DDD">
            <w:pPr>
              <w:tabs>
                <w:tab w:val="num" w:pos="-15876"/>
                <w:tab w:val="left" w:pos="280"/>
              </w:tabs>
              <w:jc w:val="both"/>
              <w:rPr>
                <w:rFonts w:cs="Arial"/>
                <w:b/>
                <w:i/>
                <w:sz w:val="18"/>
                <w:szCs w:val="18"/>
                <w:lang w:eastAsia="en-US"/>
              </w:rPr>
            </w:pPr>
            <w:r w:rsidRPr="00A35C11">
              <w:rPr>
                <w:rFonts w:cs="Arial"/>
                <w:b/>
                <w:i/>
                <w:sz w:val="18"/>
                <w:szCs w:val="18"/>
                <w:lang w:eastAsia="en-US"/>
              </w:rPr>
              <w:t>District (Urban) Centres</w:t>
            </w:r>
            <w:r w:rsidRPr="00A35C11">
              <w:rPr>
                <w:rFonts w:cs="Arial"/>
                <w:sz w:val="18"/>
                <w:szCs w:val="18"/>
                <w:lang w:eastAsia="en-US"/>
              </w:rPr>
              <w:t xml:space="preserve"> are located at Eli Waters (Boat Harbour Drive), </w:t>
            </w:r>
            <w:proofErr w:type="spellStart"/>
            <w:r w:rsidRPr="00A35C11">
              <w:rPr>
                <w:rFonts w:cs="Arial"/>
                <w:sz w:val="18"/>
                <w:szCs w:val="18"/>
                <w:lang w:eastAsia="en-US"/>
              </w:rPr>
              <w:t>Doolong</w:t>
            </w:r>
            <w:proofErr w:type="spellEnd"/>
            <w:r w:rsidRPr="00A35C11">
              <w:rPr>
                <w:rFonts w:cs="Arial"/>
                <w:sz w:val="18"/>
                <w:szCs w:val="18"/>
                <w:lang w:eastAsia="en-US"/>
              </w:rPr>
              <w:t xml:space="preserve"> Flats (Rasmussen’s Road), Torquay (</w:t>
            </w:r>
            <w:proofErr w:type="spellStart"/>
            <w:r w:rsidRPr="00A35C11">
              <w:rPr>
                <w:rFonts w:cs="Arial"/>
                <w:sz w:val="18"/>
                <w:szCs w:val="18"/>
                <w:lang w:eastAsia="en-US"/>
              </w:rPr>
              <w:t>Denmans</w:t>
            </w:r>
            <w:proofErr w:type="spellEnd"/>
            <w:r w:rsidRPr="00A35C11">
              <w:rPr>
                <w:rFonts w:cs="Arial"/>
                <w:sz w:val="18"/>
                <w:szCs w:val="18"/>
                <w:lang w:eastAsia="en-US"/>
              </w:rPr>
              <w:t xml:space="preserve"> Camp Road) and Urangan (Boat Harbour Drive and Elizabeth Street). They:-</w:t>
            </w:r>
          </w:p>
          <w:p w:rsidR="00206D8D" w:rsidRPr="00A35C11" w:rsidRDefault="00206D8D" w:rsidP="00206D8D">
            <w:pPr>
              <w:numPr>
                <w:ilvl w:val="0"/>
                <w:numId w:val="23"/>
              </w:numPr>
              <w:tabs>
                <w:tab w:val="num" w:pos="564"/>
              </w:tabs>
              <w:ind w:left="564" w:hanging="284"/>
              <w:jc w:val="both"/>
              <w:rPr>
                <w:rFonts w:cs="Arial"/>
                <w:sz w:val="18"/>
                <w:szCs w:val="18"/>
                <w:lang w:eastAsia="en-US"/>
              </w:rPr>
            </w:pPr>
            <w:r w:rsidRPr="00A35C11">
              <w:rPr>
                <w:rFonts w:cs="Arial"/>
                <w:sz w:val="18"/>
                <w:szCs w:val="18"/>
                <w:lang w:eastAsia="en-US"/>
              </w:rPr>
              <w:lastRenderedPageBreak/>
              <w:t>serve catchments of district significance within the coastal urban area; and</w:t>
            </w:r>
          </w:p>
          <w:p w:rsidR="00206D8D" w:rsidRPr="00A35C11" w:rsidRDefault="00206D8D" w:rsidP="00206D8D">
            <w:pPr>
              <w:numPr>
                <w:ilvl w:val="0"/>
                <w:numId w:val="23"/>
              </w:numPr>
              <w:tabs>
                <w:tab w:val="num" w:pos="564"/>
              </w:tabs>
              <w:ind w:left="564" w:hanging="284"/>
              <w:jc w:val="both"/>
              <w:rPr>
                <w:rFonts w:cs="Arial"/>
                <w:sz w:val="18"/>
                <w:szCs w:val="18"/>
                <w:lang w:eastAsia="en-US"/>
              </w:rPr>
            </w:pPr>
            <w:proofErr w:type="gramStart"/>
            <w:r w:rsidRPr="00A35C11">
              <w:rPr>
                <w:rFonts w:cs="Arial"/>
                <w:sz w:val="18"/>
                <w:szCs w:val="18"/>
                <w:lang w:eastAsia="en-US"/>
              </w:rPr>
              <w:t>accommodate</w:t>
            </w:r>
            <w:proofErr w:type="gramEnd"/>
            <w:r w:rsidRPr="00A35C11">
              <w:rPr>
                <w:rFonts w:cs="Arial"/>
                <w:sz w:val="18"/>
                <w:szCs w:val="18"/>
                <w:lang w:eastAsia="en-US"/>
              </w:rPr>
              <w:t xml:space="preserve"> concentrations of employment, business, services,</w:t>
            </w:r>
            <w:r>
              <w:rPr>
                <w:rFonts w:cs="Arial"/>
                <w:sz w:val="18"/>
                <w:szCs w:val="18"/>
                <w:lang w:eastAsia="en-US"/>
              </w:rPr>
              <w:t xml:space="preserve"> commercial and retail services.</w:t>
            </w:r>
          </w:p>
        </w:tc>
      </w:tr>
      <w:tr w:rsidR="00206D8D" w:rsidTr="00206D8D">
        <w:tc>
          <w:tcPr>
            <w:tcW w:w="2405" w:type="dxa"/>
          </w:tcPr>
          <w:p w:rsidR="00206D8D" w:rsidRPr="00A35C11" w:rsidRDefault="00206D8D" w:rsidP="006F1DDD">
            <w:pPr>
              <w:rPr>
                <w:sz w:val="18"/>
                <w:szCs w:val="18"/>
              </w:rPr>
            </w:pPr>
            <w:r w:rsidRPr="00A35C11">
              <w:rPr>
                <w:sz w:val="18"/>
                <w:szCs w:val="18"/>
              </w:rPr>
              <w:lastRenderedPageBreak/>
              <w:t>Local Centres</w:t>
            </w:r>
          </w:p>
        </w:tc>
        <w:tc>
          <w:tcPr>
            <w:tcW w:w="12445" w:type="dxa"/>
          </w:tcPr>
          <w:p w:rsidR="00206D8D" w:rsidRPr="00A35C11" w:rsidRDefault="00206D8D" w:rsidP="006F1DDD">
            <w:pPr>
              <w:tabs>
                <w:tab w:val="num" w:pos="-15876"/>
                <w:tab w:val="left" w:pos="280"/>
                <w:tab w:val="num" w:pos="1260"/>
              </w:tabs>
              <w:jc w:val="both"/>
              <w:rPr>
                <w:rFonts w:cs="Arial"/>
                <w:b/>
                <w:i/>
                <w:sz w:val="18"/>
                <w:szCs w:val="18"/>
                <w:lang w:eastAsia="en-US"/>
              </w:rPr>
            </w:pPr>
            <w:r w:rsidRPr="00A35C11">
              <w:rPr>
                <w:rFonts w:cs="Arial"/>
                <w:b/>
                <w:i/>
                <w:sz w:val="18"/>
                <w:szCs w:val="18"/>
                <w:lang w:eastAsia="en-US"/>
              </w:rPr>
              <w:t xml:space="preserve">Local Centres </w:t>
            </w:r>
            <w:r w:rsidRPr="00A35C11">
              <w:rPr>
                <w:rFonts w:cs="Arial"/>
                <w:sz w:val="18"/>
                <w:szCs w:val="18"/>
                <w:lang w:eastAsia="en-US"/>
              </w:rPr>
              <w:t>provide for convenience and personal service shopping needs for a surrounding residential neighbourhood and typically provide local shopping, local employment, takeaway food premises and personal and community services</w:t>
            </w:r>
            <w:r>
              <w:rPr>
                <w:rFonts w:cs="Arial"/>
                <w:b/>
                <w:i/>
                <w:sz w:val="18"/>
                <w:szCs w:val="18"/>
                <w:lang w:eastAsia="en-US"/>
              </w:rPr>
              <w:t>.</w:t>
            </w:r>
          </w:p>
        </w:tc>
      </w:tr>
      <w:tr w:rsidR="00206D8D" w:rsidTr="00206D8D">
        <w:tc>
          <w:tcPr>
            <w:tcW w:w="2405" w:type="dxa"/>
          </w:tcPr>
          <w:p w:rsidR="00206D8D" w:rsidRPr="00A35C11" w:rsidRDefault="00206D8D" w:rsidP="006F1DDD">
            <w:pPr>
              <w:rPr>
                <w:sz w:val="18"/>
                <w:szCs w:val="18"/>
              </w:rPr>
            </w:pPr>
            <w:r w:rsidRPr="00A35C11">
              <w:rPr>
                <w:sz w:val="18"/>
                <w:szCs w:val="18"/>
              </w:rPr>
              <w:t>Specialist Activity Centres</w:t>
            </w:r>
          </w:p>
        </w:tc>
        <w:tc>
          <w:tcPr>
            <w:tcW w:w="12445" w:type="dxa"/>
          </w:tcPr>
          <w:p w:rsidR="00206D8D" w:rsidRPr="00A35C11" w:rsidRDefault="00206D8D" w:rsidP="006F1DDD">
            <w:pPr>
              <w:tabs>
                <w:tab w:val="num" w:pos="-15876"/>
                <w:tab w:val="left" w:pos="280"/>
                <w:tab w:val="num" w:pos="1260"/>
              </w:tabs>
              <w:jc w:val="both"/>
              <w:rPr>
                <w:rFonts w:cs="Arial"/>
                <w:b/>
                <w:i/>
                <w:sz w:val="18"/>
                <w:szCs w:val="18"/>
                <w:lang w:eastAsia="en-US"/>
              </w:rPr>
            </w:pPr>
            <w:r w:rsidRPr="00A35C11">
              <w:rPr>
                <w:rFonts w:cs="Arial"/>
                <w:b/>
                <w:i/>
                <w:sz w:val="18"/>
                <w:szCs w:val="18"/>
                <w:lang w:eastAsia="en-US"/>
              </w:rPr>
              <w:t xml:space="preserve">Specialist Activity Centres </w:t>
            </w:r>
            <w:r w:rsidRPr="00A35C11">
              <w:rPr>
                <w:rFonts w:cs="Arial"/>
                <w:sz w:val="18"/>
                <w:szCs w:val="18"/>
                <w:lang w:eastAsia="en-US"/>
              </w:rPr>
              <w:t>are located adjacent to the Hervey Bay Airport and at the Urangan Boat Harbour. They:-</w:t>
            </w:r>
          </w:p>
          <w:p w:rsidR="00206D8D" w:rsidRPr="00A35C11" w:rsidRDefault="00206D8D" w:rsidP="00206D8D">
            <w:pPr>
              <w:numPr>
                <w:ilvl w:val="0"/>
                <w:numId w:val="23"/>
              </w:numPr>
              <w:tabs>
                <w:tab w:val="num" w:pos="564"/>
              </w:tabs>
              <w:ind w:left="564" w:hanging="284"/>
              <w:jc w:val="both"/>
              <w:rPr>
                <w:rFonts w:cs="Arial"/>
                <w:sz w:val="18"/>
                <w:szCs w:val="18"/>
                <w:lang w:eastAsia="en-US"/>
              </w:rPr>
            </w:pPr>
            <w:r w:rsidRPr="00A35C11">
              <w:rPr>
                <w:rFonts w:cs="Arial"/>
                <w:sz w:val="18"/>
                <w:szCs w:val="18"/>
                <w:lang w:eastAsia="en-US"/>
              </w:rPr>
              <w:t>provide a wide range of retail, commercial, and entertainment facilities for visitors and convenience services for residents of the immediate surrounding area;</w:t>
            </w:r>
          </w:p>
          <w:p w:rsidR="00206D8D" w:rsidRPr="00A35C11" w:rsidRDefault="00206D8D" w:rsidP="00206D8D">
            <w:pPr>
              <w:numPr>
                <w:ilvl w:val="0"/>
                <w:numId w:val="23"/>
              </w:numPr>
              <w:tabs>
                <w:tab w:val="num" w:pos="564"/>
              </w:tabs>
              <w:ind w:left="564" w:hanging="284"/>
              <w:jc w:val="both"/>
              <w:rPr>
                <w:rFonts w:cs="Arial"/>
                <w:sz w:val="18"/>
                <w:szCs w:val="18"/>
                <w:lang w:eastAsia="en-US"/>
              </w:rPr>
            </w:pPr>
            <w:r w:rsidRPr="00A35C11">
              <w:rPr>
                <w:rFonts w:cs="Arial"/>
                <w:sz w:val="18"/>
                <w:szCs w:val="18"/>
                <w:lang w:eastAsia="en-US"/>
              </w:rPr>
              <w:t>contain tourist accommodation, mixed use development, cafes and restaurants , with medium/high density housing also located at the Urangan Boat Harbour;</w:t>
            </w:r>
          </w:p>
          <w:p w:rsidR="00206D8D" w:rsidRPr="00A35C11" w:rsidRDefault="00206D8D" w:rsidP="00206D8D">
            <w:pPr>
              <w:numPr>
                <w:ilvl w:val="0"/>
                <w:numId w:val="23"/>
              </w:numPr>
              <w:tabs>
                <w:tab w:val="num" w:pos="564"/>
              </w:tabs>
              <w:ind w:left="564" w:hanging="284"/>
              <w:jc w:val="both"/>
              <w:rPr>
                <w:rFonts w:cs="Arial"/>
                <w:sz w:val="18"/>
                <w:szCs w:val="18"/>
                <w:lang w:eastAsia="en-US"/>
              </w:rPr>
            </w:pPr>
            <w:r w:rsidRPr="00A35C11">
              <w:rPr>
                <w:rFonts w:cs="Arial"/>
                <w:sz w:val="18"/>
                <w:szCs w:val="18"/>
                <w:lang w:eastAsia="en-US"/>
              </w:rPr>
              <w:t>provide opportunities for industrial uses; and</w:t>
            </w:r>
          </w:p>
          <w:p w:rsidR="00206D8D" w:rsidRPr="00A35C11" w:rsidRDefault="00206D8D" w:rsidP="00206D8D">
            <w:pPr>
              <w:numPr>
                <w:ilvl w:val="0"/>
                <w:numId w:val="23"/>
              </w:numPr>
              <w:tabs>
                <w:tab w:val="num" w:pos="564"/>
              </w:tabs>
              <w:ind w:left="564" w:hanging="284"/>
              <w:jc w:val="both"/>
              <w:rPr>
                <w:rFonts w:cs="Arial"/>
                <w:sz w:val="18"/>
                <w:szCs w:val="18"/>
                <w:lang w:eastAsia="en-US"/>
              </w:rPr>
            </w:pPr>
            <w:proofErr w:type="gramStart"/>
            <w:r w:rsidRPr="00A35C11">
              <w:rPr>
                <w:rFonts w:cs="Arial"/>
                <w:sz w:val="18"/>
                <w:szCs w:val="18"/>
                <w:lang w:eastAsia="en-US"/>
              </w:rPr>
              <w:t>function</w:t>
            </w:r>
            <w:proofErr w:type="gramEnd"/>
            <w:r w:rsidRPr="00A35C11">
              <w:rPr>
                <w:rFonts w:cs="Arial"/>
                <w:sz w:val="18"/>
                <w:szCs w:val="18"/>
                <w:lang w:eastAsia="en-US"/>
              </w:rPr>
              <w:t xml:space="preserve"> as major transport hubs. </w:t>
            </w:r>
          </w:p>
        </w:tc>
      </w:tr>
      <w:tr w:rsidR="00206D8D" w:rsidTr="00206D8D">
        <w:tc>
          <w:tcPr>
            <w:tcW w:w="2405" w:type="dxa"/>
          </w:tcPr>
          <w:p w:rsidR="00206D8D" w:rsidRPr="00A35C11" w:rsidRDefault="00206D8D" w:rsidP="006F1DDD">
            <w:pPr>
              <w:rPr>
                <w:sz w:val="18"/>
                <w:szCs w:val="18"/>
              </w:rPr>
            </w:pPr>
            <w:r w:rsidRPr="00A35C11">
              <w:rPr>
                <w:sz w:val="18"/>
                <w:szCs w:val="18"/>
              </w:rPr>
              <w:t>Tourism Activity Centre</w:t>
            </w:r>
          </w:p>
        </w:tc>
        <w:tc>
          <w:tcPr>
            <w:tcW w:w="12445" w:type="dxa"/>
          </w:tcPr>
          <w:p w:rsidR="00206D8D" w:rsidRPr="00A35C11" w:rsidRDefault="00206D8D" w:rsidP="006F1DDD">
            <w:pPr>
              <w:tabs>
                <w:tab w:val="num" w:pos="-15876"/>
                <w:tab w:val="left" w:pos="280"/>
                <w:tab w:val="num" w:pos="1260"/>
              </w:tabs>
              <w:jc w:val="both"/>
              <w:rPr>
                <w:rFonts w:cs="Arial"/>
                <w:b/>
                <w:i/>
                <w:sz w:val="18"/>
                <w:szCs w:val="18"/>
                <w:lang w:eastAsia="en-US"/>
              </w:rPr>
            </w:pPr>
            <w:r w:rsidRPr="00A35C11">
              <w:rPr>
                <w:rFonts w:cs="Arial"/>
                <w:b/>
                <w:i/>
                <w:sz w:val="18"/>
                <w:szCs w:val="18"/>
                <w:lang w:eastAsia="en-US"/>
              </w:rPr>
              <w:t xml:space="preserve">Tourism Activity Centres </w:t>
            </w:r>
            <w:r w:rsidRPr="00A35C11">
              <w:rPr>
                <w:rFonts w:cs="Arial"/>
                <w:sz w:val="18"/>
                <w:szCs w:val="18"/>
                <w:lang w:eastAsia="en-US"/>
              </w:rPr>
              <w:t>are located on the Esplanade at Pialba, Scarness, Torquay and Urangan. They:-</w:t>
            </w:r>
          </w:p>
          <w:p w:rsidR="00206D8D" w:rsidRPr="00A35C11" w:rsidRDefault="00206D8D" w:rsidP="00206D8D">
            <w:pPr>
              <w:numPr>
                <w:ilvl w:val="0"/>
                <w:numId w:val="23"/>
              </w:numPr>
              <w:tabs>
                <w:tab w:val="num" w:pos="564"/>
              </w:tabs>
              <w:ind w:left="564" w:hanging="284"/>
              <w:jc w:val="both"/>
              <w:rPr>
                <w:rFonts w:cs="Arial"/>
                <w:sz w:val="18"/>
                <w:szCs w:val="18"/>
                <w:lang w:eastAsia="en-US"/>
              </w:rPr>
            </w:pPr>
            <w:r w:rsidRPr="00A35C11">
              <w:rPr>
                <w:rFonts w:cs="Arial"/>
                <w:sz w:val="18"/>
                <w:szCs w:val="18"/>
                <w:lang w:eastAsia="en-US"/>
              </w:rPr>
              <w:t>provide a wide range of retail, commercial, and entertainment facilities for visitors and convenience services for residents of the immediate surrounding area; and</w:t>
            </w:r>
          </w:p>
          <w:p w:rsidR="00206D8D" w:rsidRPr="00A35C11" w:rsidRDefault="00206D8D" w:rsidP="00206D8D">
            <w:pPr>
              <w:numPr>
                <w:ilvl w:val="0"/>
                <w:numId w:val="23"/>
              </w:numPr>
              <w:tabs>
                <w:tab w:val="num" w:pos="564"/>
              </w:tabs>
              <w:ind w:left="564" w:hanging="284"/>
              <w:jc w:val="both"/>
              <w:rPr>
                <w:rFonts w:cs="Arial"/>
                <w:sz w:val="18"/>
                <w:szCs w:val="18"/>
                <w:lang w:eastAsia="en-US"/>
              </w:rPr>
            </w:pPr>
            <w:proofErr w:type="gramStart"/>
            <w:r w:rsidRPr="00A35C11">
              <w:rPr>
                <w:rFonts w:cs="Arial"/>
                <w:sz w:val="18"/>
                <w:szCs w:val="18"/>
                <w:lang w:eastAsia="en-US"/>
              </w:rPr>
              <w:t>contain</w:t>
            </w:r>
            <w:proofErr w:type="gramEnd"/>
            <w:r w:rsidRPr="00A35C11">
              <w:rPr>
                <w:rFonts w:cs="Arial"/>
                <w:sz w:val="18"/>
                <w:szCs w:val="18"/>
                <w:lang w:eastAsia="en-US"/>
              </w:rPr>
              <w:t xml:space="preserve"> tourist accommodation, mixed use development, medium/high density living, cafes and restaurants.</w:t>
            </w:r>
          </w:p>
        </w:tc>
      </w:tr>
    </w:tbl>
    <w:p w:rsidR="00206D8D" w:rsidRDefault="00206D8D" w:rsidP="007500D1"/>
    <w:p w:rsidR="00206D8D" w:rsidRDefault="00206D8D" w:rsidP="00206D8D">
      <w:r>
        <w:br w:type="page"/>
      </w:r>
    </w:p>
    <w:p w:rsidR="00206D8D" w:rsidRPr="00D70B55" w:rsidRDefault="00206D8D" w:rsidP="00206D8D">
      <w:pPr>
        <w:rPr>
          <w:b/>
        </w:rPr>
      </w:pPr>
      <w:r w:rsidRPr="00D70B55">
        <w:rPr>
          <w:b/>
        </w:rPr>
        <w:lastRenderedPageBreak/>
        <w:t>Figure 6d – Fraser Coast Hierarchy of Centres (Specialised Centre Zone Code)</w:t>
      </w:r>
    </w:p>
    <w:p w:rsidR="00946AA1" w:rsidRPr="007500D1" w:rsidRDefault="00946AA1" w:rsidP="007500D1"/>
    <w:sectPr w:rsidR="00946AA1" w:rsidRPr="007500D1" w:rsidSect="00A368CC">
      <w:footerReference w:type="default" r:id="rId7"/>
      <w:pgSz w:w="16838" w:h="11906" w:orient="landscape"/>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5C2" w:rsidRDefault="009505C2" w:rsidP="00833FE1">
      <w:r>
        <w:separator/>
      </w:r>
    </w:p>
  </w:endnote>
  <w:endnote w:type="continuationSeparator" w:id="0">
    <w:p w:rsidR="009505C2" w:rsidRDefault="009505C2" w:rsidP="0083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AAD" w:rsidRPr="0072730F" w:rsidRDefault="00506769">
    <w:pPr>
      <w:pStyle w:val="Footer"/>
      <w:rPr>
        <w:sz w:val="14"/>
        <w:szCs w:val="14"/>
      </w:rPr>
    </w:pPr>
    <w:proofErr w:type="gramStart"/>
    <w:r>
      <w:rPr>
        <w:sz w:val="14"/>
        <w:szCs w:val="14"/>
      </w:rPr>
      <w:t>6.2.</w:t>
    </w:r>
    <w:r w:rsidR="00D5593A">
      <w:rPr>
        <w:sz w:val="14"/>
        <w:szCs w:val="14"/>
      </w:rPr>
      <w:t>21</w:t>
    </w:r>
    <w:r>
      <w:rPr>
        <w:sz w:val="14"/>
        <w:szCs w:val="14"/>
      </w:rPr>
      <w:t xml:space="preserve"> </w:t>
    </w:r>
    <w:r w:rsidR="0072730F" w:rsidRPr="0072730F">
      <w:rPr>
        <w:sz w:val="14"/>
        <w:szCs w:val="14"/>
      </w:rPr>
      <w:t xml:space="preserve"> </w:t>
    </w:r>
    <w:r w:rsidR="007500D1">
      <w:rPr>
        <w:sz w:val="14"/>
        <w:szCs w:val="14"/>
      </w:rPr>
      <w:t>Specialised</w:t>
    </w:r>
    <w:proofErr w:type="gramEnd"/>
    <w:r w:rsidR="007500D1">
      <w:rPr>
        <w:sz w:val="14"/>
        <w:szCs w:val="14"/>
      </w:rPr>
      <w:t xml:space="preserve"> Centre</w:t>
    </w:r>
    <w:r w:rsidR="00AF5F13">
      <w:rPr>
        <w:sz w:val="14"/>
        <w:szCs w:val="14"/>
      </w:rPr>
      <w:t xml:space="preserve"> Zone</w:t>
    </w:r>
    <w:r w:rsidR="0072730F" w:rsidRPr="0072730F">
      <w:rPr>
        <w:sz w:val="14"/>
        <w:szCs w:val="14"/>
      </w:rPr>
      <w:t xml:space="preserve"> Code (Applicant Response Template) – Fraser C</w:t>
    </w:r>
    <w:r w:rsidR="002E53EA">
      <w:rPr>
        <w:sz w:val="14"/>
        <w:szCs w:val="14"/>
      </w:rPr>
      <w:t>oast Planning Scheme – January 2014</w:t>
    </w:r>
    <w:r w:rsidR="00BD7E27">
      <w:rPr>
        <w:sz w:val="14"/>
        <w:szCs w:val="14"/>
      </w:rPr>
      <w:t xml:space="preserve"> (Version 1</w:t>
    </w:r>
    <w:r w:rsidR="002B6681">
      <w:rPr>
        <w:sz w:val="14"/>
        <w:szCs w:val="14"/>
      </w:rPr>
      <w:t>1</w:t>
    </w:r>
    <w:r w:rsidR="0072730F" w:rsidRPr="0072730F">
      <w:rPr>
        <w:sz w:val="14"/>
        <w:szCs w:val="14"/>
      </w:rPr>
      <w:t>)</w:t>
    </w:r>
  </w:p>
  <w:p w:rsidR="00D5593A" w:rsidRDefault="00D5593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5C2" w:rsidRDefault="009505C2" w:rsidP="00833FE1">
      <w:r>
        <w:separator/>
      </w:r>
    </w:p>
  </w:footnote>
  <w:footnote w:type="continuationSeparator" w:id="0">
    <w:p w:rsidR="009505C2" w:rsidRDefault="009505C2" w:rsidP="00833FE1">
      <w:r>
        <w:continuationSeparator/>
      </w:r>
    </w:p>
  </w:footnote>
  <w:footnote w:id="1">
    <w:p w:rsidR="00BD7E27" w:rsidRDefault="00BD7E27" w:rsidP="00BD7E27">
      <w:pPr>
        <w:pStyle w:val="FootnoteText"/>
      </w:pPr>
      <w:r>
        <w:rPr>
          <w:rStyle w:val="FootnoteReference"/>
        </w:rPr>
        <w:footnoteRef/>
      </w:r>
      <w:r>
        <w:t xml:space="preserve"> </w:t>
      </w:r>
      <w:r w:rsidRPr="00EE26B2">
        <w:rPr>
          <w:sz w:val="14"/>
          <w:szCs w:val="14"/>
        </w:rPr>
        <w:t xml:space="preserve">The Fraser Coast hierarchy of centres is described in </w:t>
      </w:r>
      <w:r w:rsidRPr="00265749">
        <w:rPr>
          <w:b/>
          <w:sz w:val="14"/>
          <w:szCs w:val="14"/>
        </w:rPr>
        <w:t>Table 6.2.</w:t>
      </w:r>
      <w:r>
        <w:rPr>
          <w:b/>
          <w:sz w:val="14"/>
          <w:szCs w:val="14"/>
        </w:rPr>
        <w:t>21</w:t>
      </w:r>
      <w:r w:rsidRPr="00265749">
        <w:rPr>
          <w:b/>
          <w:sz w:val="14"/>
          <w:szCs w:val="14"/>
        </w:rPr>
        <w:t>.3.2</w:t>
      </w:r>
      <w:r w:rsidRPr="00EE26B2">
        <w:rPr>
          <w:sz w:val="14"/>
          <w:szCs w:val="14"/>
        </w:rPr>
        <w:t xml:space="preserve"> </w:t>
      </w:r>
      <w:r w:rsidRPr="00265749">
        <w:rPr>
          <w:b/>
          <w:sz w:val="14"/>
          <w:szCs w:val="14"/>
        </w:rPr>
        <w:t>(Fraser Coast Hierarchy of Centres)</w:t>
      </w:r>
      <w:r>
        <w:rPr>
          <w:sz w:val="14"/>
          <w:szCs w:val="14"/>
        </w:rPr>
        <w:t xml:space="preserve"> in </w:t>
      </w:r>
      <w:r w:rsidRPr="00265749">
        <w:rPr>
          <w:b/>
          <w:sz w:val="14"/>
          <w:szCs w:val="14"/>
        </w:rPr>
        <w:t>Part 6 (Zone Codes)</w:t>
      </w:r>
      <w:r>
        <w:rPr>
          <w:sz w:val="14"/>
          <w:szCs w:val="14"/>
        </w:rPr>
        <w:t xml:space="preserve"> </w:t>
      </w:r>
      <w:r w:rsidRPr="00EE26B2">
        <w:rPr>
          <w:sz w:val="14"/>
          <w:szCs w:val="14"/>
        </w:rPr>
        <w:t xml:space="preserve">for development subject to code assessment, and the settlement pattern theme of </w:t>
      </w:r>
      <w:r w:rsidRPr="00265749">
        <w:rPr>
          <w:b/>
          <w:sz w:val="14"/>
          <w:szCs w:val="14"/>
        </w:rPr>
        <w:t>Part 3 Strategic Framework</w:t>
      </w:r>
      <w:r w:rsidRPr="00EE26B2">
        <w:rPr>
          <w:sz w:val="14"/>
          <w:szCs w:val="14"/>
        </w:rPr>
        <w:t xml:space="preserve"> for development subject to impact assessment.</w:t>
      </w:r>
    </w:p>
  </w:footnote>
  <w:footnote w:id="2">
    <w:p w:rsidR="00BD7E27" w:rsidRDefault="00BD7E27" w:rsidP="00BD7E27">
      <w:pPr>
        <w:pStyle w:val="FootnoteText"/>
        <w:ind w:left="284" w:hanging="284"/>
        <w:rPr>
          <w:sz w:val="14"/>
          <w:szCs w:val="14"/>
        </w:rPr>
      </w:pPr>
      <w:r>
        <w:rPr>
          <w:rStyle w:val="FootnoteReference"/>
          <w:sz w:val="14"/>
          <w:szCs w:val="14"/>
        </w:rPr>
        <w:footnoteRef/>
      </w:r>
      <w:r>
        <w:rPr>
          <w:sz w:val="14"/>
          <w:szCs w:val="14"/>
        </w:rPr>
        <w:tab/>
        <w:t xml:space="preserve">Editor’s note—the publication </w:t>
      </w:r>
      <w:r>
        <w:rPr>
          <w:i/>
          <w:sz w:val="14"/>
          <w:szCs w:val="14"/>
        </w:rPr>
        <w:t>Subtropical Design in South East Queensland – A Handbook for Planners, Developers and Decision Makers</w:t>
      </w:r>
      <w:r>
        <w:rPr>
          <w:sz w:val="14"/>
          <w:szCs w:val="14"/>
        </w:rPr>
        <w:t>, prepared by the Centre for Subtropical Design, provides guidance about the application of sub-tropical design principles.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9BF"/>
    <w:multiLevelType w:val="multilevel"/>
    <w:tmpl w:val="A2FE84E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2F23097"/>
    <w:multiLevelType w:val="multilevel"/>
    <w:tmpl w:val="AAD66C0E"/>
    <w:numStyleLink w:val="StyleNumbered"/>
  </w:abstractNum>
  <w:abstractNum w:abstractNumId="2" w15:restartNumberingAfterBreak="0">
    <w:nsid w:val="03CE326C"/>
    <w:multiLevelType w:val="multilevel"/>
    <w:tmpl w:val="23BC352E"/>
    <w:lvl w:ilvl="0">
      <w:start w:val="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257CB0"/>
    <w:multiLevelType w:val="multilevel"/>
    <w:tmpl w:val="2A8C8EC8"/>
    <w:lvl w:ilvl="0">
      <w:start w:val="6"/>
      <w:numFmt w:val="decimal"/>
      <w:pStyle w:val="Heading1"/>
      <w:lvlText w:val="Part %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276"/>
        </w:tabs>
        <w:ind w:left="1276" w:hanging="1134"/>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4" w15:restartNumberingAfterBreak="0">
    <w:nsid w:val="0A0517DF"/>
    <w:multiLevelType w:val="multilevel"/>
    <w:tmpl w:val="A2FE84E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4610205"/>
    <w:multiLevelType w:val="multilevel"/>
    <w:tmpl w:val="AAD66C0E"/>
    <w:numStyleLink w:val="StyleNumbered"/>
  </w:abstractNum>
  <w:abstractNum w:abstractNumId="6" w15:restartNumberingAfterBreak="0">
    <w:nsid w:val="165918A8"/>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F2637B0"/>
    <w:multiLevelType w:val="multilevel"/>
    <w:tmpl w:val="AAD66C0E"/>
    <w:numStyleLink w:val="StyleNumbered"/>
  </w:abstractNum>
  <w:abstractNum w:abstractNumId="8" w15:restartNumberingAfterBreak="0">
    <w:nsid w:val="2A553884"/>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B9F3816"/>
    <w:multiLevelType w:val="multilevel"/>
    <w:tmpl w:val="D6B098F4"/>
    <w:lvl w:ilvl="0">
      <w:start w:val="6"/>
      <w:numFmt w:val="decimal"/>
      <w:lvlText w:val="%1"/>
      <w:lvlJc w:val="left"/>
      <w:pPr>
        <w:ind w:left="780" w:hanging="780"/>
      </w:pPr>
      <w:rPr>
        <w:rFonts w:hint="default"/>
      </w:rPr>
    </w:lvl>
    <w:lvl w:ilvl="1">
      <w:start w:val="2"/>
      <w:numFmt w:val="decimal"/>
      <w:lvlText w:val="%1.%2"/>
      <w:lvlJc w:val="left"/>
      <w:pPr>
        <w:ind w:left="827" w:hanging="780"/>
      </w:pPr>
      <w:rPr>
        <w:rFonts w:hint="default"/>
      </w:rPr>
    </w:lvl>
    <w:lvl w:ilvl="2">
      <w:start w:val="19"/>
      <w:numFmt w:val="decimal"/>
      <w:lvlText w:val="%1.%2.%3"/>
      <w:lvlJc w:val="left"/>
      <w:pPr>
        <w:ind w:left="874" w:hanging="780"/>
      </w:pPr>
      <w:rPr>
        <w:rFonts w:hint="default"/>
      </w:rPr>
    </w:lvl>
    <w:lvl w:ilvl="3">
      <w:start w:val="2"/>
      <w:numFmt w:val="decimal"/>
      <w:lvlText w:val="%1.%2.%3.%4"/>
      <w:lvlJc w:val="left"/>
      <w:pPr>
        <w:ind w:left="921" w:hanging="7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0" w15:restartNumberingAfterBreak="0">
    <w:nsid w:val="383F07D3"/>
    <w:multiLevelType w:val="hybridMultilevel"/>
    <w:tmpl w:val="6BC49E26"/>
    <w:lvl w:ilvl="0" w:tplc="0C090001">
      <w:start w:val="1"/>
      <w:numFmt w:val="bullet"/>
      <w:lvlText w:val=""/>
      <w:lvlJc w:val="left"/>
      <w:pPr>
        <w:tabs>
          <w:tab w:val="num" w:pos="1494"/>
        </w:tabs>
        <w:ind w:left="1854" w:hanging="360"/>
      </w:pPr>
      <w:rPr>
        <w:rFonts w:ascii="Symbol" w:hAnsi="Symbol" w:hint="default"/>
        <w:b w:val="0"/>
        <w:sz w:val="18"/>
        <w:szCs w:val="18"/>
      </w:rPr>
    </w:lvl>
    <w:lvl w:ilvl="1" w:tplc="41608402">
      <w:start w:val="3"/>
      <w:numFmt w:val="lowerRoman"/>
      <w:lvlText w:val="(%2)"/>
      <w:lvlJc w:val="left"/>
      <w:pPr>
        <w:tabs>
          <w:tab w:val="num" w:pos="1260"/>
        </w:tabs>
        <w:ind w:left="1260" w:hanging="180"/>
      </w:pPr>
      <w:rPr>
        <w:rFonts w:hint="default"/>
        <w:b w:val="0"/>
        <w:sz w:val="20"/>
        <w:szCs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3A72EF4"/>
    <w:multiLevelType w:val="multilevel"/>
    <w:tmpl w:val="09462DF8"/>
    <w:lvl w:ilvl="0">
      <w:start w:val="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D87A4C"/>
    <w:multiLevelType w:val="multilevel"/>
    <w:tmpl w:val="FB0C9B60"/>
    <w:lvl w:ilvl="0">
      <w:start w:val="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533252"/>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E973A34"/>
    <w:multiLevelType w:val="multilevel"/>
    <w:tmpl w:val="3E3E1CF4"/>
    <w:styleLink w:val="StyleStyleNumberedOutlinenumberedArial"/>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57B7537D"/>
    <w:multiLevelType w:val="multilevel"/>
    <w:tmpl w:val="AAD66C0E"/>
    <w:numStyleLink w:val="StyleNumbered"/>
  </w:abstractNum>
  <w:abstractNum w:abstractNumId="16" w15:restartNumberingAfterBreak="0">
    <w:nsid w:val="5CC35ECA"/>
    <w:multiLevelType w:val="multilevel"/>
    <w:tmpl w:val="AAD66C0E"/>
    <w:styleLink w:val="StyleNumbere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60E74957"/>
    <w:multiLevelType w:val="multilevel"/>
    <w:tmpl w:val="7A7EB1AA"/>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19975B3"/>
    <w:multiLevelType w:val="multilevel"/>
    <w:tmpl w:val="7A7EB1AA"/>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64724558"/>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668D00F3"/>
    <w:multiLevelType w:val="multilevel"/>
    <w:tmpl w:val="0C09001D"/>
    <w:styleLink w:val="1ai"/>
    <w:lvl w:ilvl="0">
      <w:start w:val="1"/>
      <w:numFmt w:val="decimal"/>
      <w:lvlText w:val="%1)"/>
      <w:lvlJc w:val="left"/>
      <w:pPr>
        <w:tabs>
          <w:tab w:val="num" w:pos="360"/>
        </w:tabs>
        <w:ind w:left="360" w:hanging="360"/>
      </w:pPr>
      <w:rPr>
        <w:rFonts w:ascii="Arial" w:hAnsi="Arial"/>
        <w:sz w:val="20"/>
      </w:rPr>
    </w:lvl>
    <w:lvl w:ilvl="1">
      <w:start w:val="1"/>
      <w:numFmt w:val="lowerLetter"/>
      <w:lvlText w:val="%2)"/>
      <w:lvlJc w:val="left"/>
      <w:pPr>
        <w:tabs>
          <w:tab w:val="num" w:pos="720"/>
        </w:tabs>
        <w:ind w:left="720" w:hanging="360"/>
      </w:pPr>
      <w:rPr>
        <w:rFonts w:ascii="Arial" w:hAnsi="Arial"/>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B71109C"/>
    <w:multiLevelType w:val="multilevel"/>
    <w:tmpl w:val="AAD66C0E"/>
    <w:numStyleLink w:val="StyleNumbered"/>
  </w:abstractNum>
  <w:abstractNum w:abstractNumId="22" w15:restartNumberingAfterBreak="0">
    <w:nsid w:val="7CCF524C"/>
    <w:multiLevelType w:val="multilevel"/>
    <w:tmpl w:val="E1F62536"/>
    <w:lvl w:ilvl="0">
      <w:start w:val="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6"/>
  </w:num>
  <w:num w:numId="3">
    <w:abstractNumId w:val="20"/>
  </w:num>
  <w:num w:numId="4">
    <w:abstractNumId w:val="14"/>
  </w:num>
  <w:num w:numId="5">
    <w:abstractNumId w:val="19"/>
  </w:num>
  <w:num w:numId="6">
    <w:abstractNumId w:val="15"/>
  </w:num>
  <w:num w:numId="7">
    <w:abstractNumId w:val="11"/>
  </w:num>
  <w:num w:numId="8">
    <w:abstractNumId w:val="6"/>
  </w:num>
  <w:num w:numId="9">
    <w:abstractNumId w:val="13"/>
  </w:num>
  <w:num w:numId="10">
    <w:abstractNumId w:val="17"/>
  </w:num>
  <w:num w:numId="11">
    <w:abstractNumId w:val="5"/>
    <w:lvlOverride w:ilvl="1">
      <w:lvl w:ilvl="1">
        <w:start w:val="1"/>
        <w:numFmt w:val="lowerLetter"/>
        <w:lvlText w:val="(%2)"/>
        <w:lvlJc w:val="left"/>
        <w:pPr>
          <w:tabs>
            <w:tab w:val="num" w:pos="1827"/>
          </w:tabs>
          <w:ind w:left="1827" w:hanging="567"/>
        </w:pPr>
        <w:rPr>
          <w:rFonts w:ascii="Arial" w:hAnsi="Arial" w:hint="default"/>
        </w:rPr>
      </w:lvl>
    </w:lvlOverride>
  </w:num>
  <w:num w:numId="12">
    <w:abstractNumId w:val="18"/>
  </w:num>
  <w:num w:numId="13">
    <w:abstractNumId w:val="2"/>
  </w:num>
  <w:num w:numId="14">
    <w:abstractNumId w:val="9"/>
  </w:num>
  <w:num w:numId="15">
    <w:abstractNumId w:val="8"/>
  </w:num>
  <w:num w:numId="16">
    <w:abstractNumId w:val="1"/>
  </w:num>
  <w:num w:numId="17">
    <w:abstractNumId w:val="0"/>
  </w:num>
  <w:num w:numId="18">
    <w:abstractNumId w:val="4"/>
  </w:num>
  <w:num w:numId="19">
    <w:abstractNumId w:val="22"/>
  </w:num>
  <w:num w:numId="20">
    <w:abstractNumId w:val="21"/>
  </w:num>
  <w:num w:numId="21">
    <w:abstractNumId w:val="7"/>
  </w:num>
  <w:num w:numId="22">
    <w:abstractNumId w:val="12"/>
  </w:num>
  <w:num w:numId="2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FE1"/>
    <w:rsid w:val="001502E3"/>
    <w:rsid w:val="001711C0"/>
    <w:rsid w:val="001D0225"/>
    <w:rsid w:val="00206D8D"/>
    <w:rsid w:val="00224CD8"/>
    <w:rsid w:val="002B0793"/>
    <w:rsid w:val="002B0A6D"/>
    <w:rsid w:val="002B6681"/>
    <w:rsid w:val="002E53EA"/>
    <w:rsid w:val="003B7F7D"/>
    <w:rsid w:val="00501640"/>
    <w:rsid w:val="00506769"/>
    <w:rsid w:val="00667913"/>
    <w:rsid w:val="006D446F"/>
    <w:rsid w:val="0072730F"/>
    <w:rsid w:val="007500D1"/>
    <w:rsid w:val="00757106"/>
    <w:rsid w:val="00764C6E"/>
    <w:rsid w:val="008274AC"/>
    <w:rsid w:val="00833FE1"/>
    <w:rsid w:val="00946AA1"/>
    <w:rsid w:val="009505C2"/>
    <w:rsid w:val="00A368CC"/>
    <w:rsid w:val="00AC3AAD"/>
    <w:rsid w:val="00AF5F13"/>
    <w:rsid w:val="00BD7E27"/>
    <w:rsid w:val="00C542F9"/>
    <w:rsid w:val="00C9287D"/>
    <w:rsid w:val="00CC4A82"/>
    <w:rsid w:val="00CF2C20"/>
    <w:rsid w:val="00D5593A"/>
    <w:rsid w:val="00DE0220"/>
    <w:rsid w:val="00E41D15"/>
    <w:rsid w:val="00E769AF"/>
    <w:rsid w:val="00E835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86B1F"/>
  <w15:docId w15:val="{E35C09BC-355E-4DD2-9A94-C8A13BCB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FE1"/>
    <w:pPr>
      <w:spacing w:after="0" w:line="240" w:lineRule="auto"/>
    </w:pPr>
    <w:rPr>
      <w:rFonts w:ascii="Arial" w:eastAsia="Times New Roman" w:hAnsi="Arial" w:cs="Times New Roman"/>
      <w:sz w:val="20"/>
      <w:szCs w:val="24"/>
      <w:lang w:eastAsia="en-AU"/>
    </w:rPr>
  </w:style>
  <w:style w:type="paragraph" w:styleId="Heading1">
    <w:name w:val="heading 1"/>
    <w:basedOn w:val="Normal"/>
    <w:next w:val="Normal"/>
    <w:link w:val="Heading1Char"/>
    <w:uiPriority w:val="99"/>
    <w:qFormat/>
    <w:rsid w:val="00833FE1"/>
    <w:pPr>
      <w:keepNext/>
      <w:numPr>
        <w:numId w:val="1"/>
      </w:numPr>
      <w:spacing w:before="100" w:after="200"/>
      <w:outlineLvl w:val="0"/>
    </w:pPr>
    <w:rPr>
      <w:rFonts w:cs="Arial"/>
      <w:b/>
      <w:bCs/>
      <w:kern w:val="32"/>
      <w:sz w:val="32"/>
      <w:szCs w:val="32"/>
    </w:rPr>
  </w:style>
  <w:style w:type="paragraph" w:styleId="Heading2">
    <w:name w:val="heading 2"/>
    <w:basedOn w:val="Normal"/>
    <w:next w:val="Normal"/>
    <w:link w:val="Heading2Char"/>
    <w:uiPriority w:val="99"/>
    <w:qFormat/>
    <w:rsid w:val="00833FE1"/>
    <w:pPr>
      <w:keepNext/>
      <w:numPr>
        <w:ilvl w:val="1"/>
        <w:numId w:val="1"/>
      </w:numPr>
      <w:spacing w:before="100" w:after="200"/>
      <w:outlineLvl w:val="1"/>
    </w:pPr>
    <w:rPr>
      <w:rFonts w:cs="Arial"/>
      <w:b/>
      <w:bCs/>
      <w:iCs/>
      <w:sz w:val="28"/>
      <w:szCs w:val="28"/>
    </w:rPr>
  </w:style>
  <w:style w:type="paragraph" w:styleId="Heading3">
    <w:name w:val="heading 3"/>
    <w:basedOn w:val="Normal"/>
    <w:next w:val="Normal"/>
    <w:link w:val="Heading3Char"/>
    <w:uiPriority w:val="99"/>
    <w:qFormat/>
    <w:rsid w:val="00833FE1"/>
    <w:pPr>
      <w:keepNext/>
      <w:numPr>
        <w:ilvl w:val="2"/>
        <w:numId w:val="1"/>
      </w:numPr>
      <w:spacing w:before="100" w:after="200"/>
      <w:outlineLvl w:val="2"/>
    </w:pPr>
    <w:rPr>
      <w:rFonts w:cs="Arial"/>
      <w:b/>
      <w:bCs/>
      <w:sz w:val="24"/>
      <w:szCs w:val="26"/>
    </w:rPr>
  </w:style>
  <w:style w:type="paragraph" w:styleId="Heading4">
    <w:name w:val="heading 4"/>
    <w:basedOn w:val="Normal"/>
    <w:next w:val="Normal"/>
    <w:link w:val="Heading4Char"/>
    <w:qFormat/>
    <w:rsid w:val="00833FE1"/>
    <w:pPr>
      <w:keepNext/>
      <w:numPr>
        <w:ilvl w:val="3"/>
        <w:numId w:val="1"/>
      </w:numPr>
      <w:tabs>
        <w:tab w:val="clear" w:pos="1276"/>
        <w:tab w:val="num" w:pos="1134"/>
      </w:tabs>
      <w:spacing w:before="240" w:after="60"/>
      <w:ind w:left="1134"/>
      <w:outlineLvl w:val="3"/>
    </w:pPr>
    <w:rPr>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3FE1"/>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uiPriority w:val="99"/>
    <w:rsid w:val="00833FE1"/>
    <w:rPr>
      <w:rFonts w:ascii="Arial" w:eastAsia="Times New Roman" w:hAnsi="Arial" w:cs="Arial"/>
      <w:b/>
      <w:bCs/>
      <w:iCs/>
      <w:sz w:val="28"/>
      <w:szCs w:val="28"/>
      <w:lang w:eastAsia="en-AU"/>
    </w:rPr>
  </w:style>
  <w:style w:type="character" w:customStyle="1" w:styleId="Heading3Char">
    <w:name w:val="Heading 3 Char"/>
    <w:basedOn w:val="DefaultParagraphFont"/>
    <w:link w:val="Heading3"/>
    <w:uiPriority w:val="99"/>
    <w:rsid w:val="00833FE1"/>
    <w:rPr>
      <w:rFonts w:ascii="Arial" w:eastAsia="Times New Roman" w:hAnsi="Arial" w:cs="Arial"/>
      <w:b/>
      <w:bCs/>
      <w:sz w:val="24"/>
      <w:szCs w:val="26"/>
      <w:lang w:eastAsia="en-AU"/>
    </w:rPr>
  </w:style>
  <w:style w:type="character" w:customStyle="1" w:styleId="Heading4Char">
    <w:name w:val="Heading 4 Char"/>
    <w:basedOn w:val="DefaultParagraphFont"/>
    <w:link w:val="Heading4"/>
    <w:rsid w:val="00833FE1"/>
    <w:rPr>
      <w:rFonts w:ascii="Arial" w:eastAsia="Times New Roman" w:hAnsi="Arial" w:cs="Times New Roman"/>
      <w:b/>
      <w:bCs/>
      <w:szCs w:val="28"/>
      <w:lang w:eastAsia="en-AU"/>
    </w:rPr>
  </w:style>
  <w:style w:type="numbering" w:customStyle="1" w:styleId="StyleNumbered">
    <w:name w:val="Style Numbered"/>
    <w:basedOn w:val="NoList"/>
    <w:rsid w:val="00833FE1"/>
    <w:pPr>
      <w:numPr>
        <w:numId w:val="2"/>
      </w:numPr>
    </w:pPr>
  </w:style>
  <w:style w:type="paragraph" w:styleId="FootnoteText">
    <w:name w:val="footnote text"/>
    <w:basedOn w:val="Normal"/>
    <w:link w:val="FootnoteTextChar"/>
    <w:semiHidden/>
    <w:rsid w:val="00833FE1"/>
    <w:rPr>
      <w:szCs w:val="20"/>
    </w:rPr>
  </w:style>
  <w:style w:type="character" w:customStyle="1" w:styleId="FootnoteTextChar">
    <w:name w:val="Footnote Text Char"/>
    <w:basedOn w:val="DefaultParagraphFont"/>
    <w:link w:val="FootnoteText"/>
    <w:semiHidden/>
    <w:rsid w:val="00833FE1"/>
    <w:rPr>
      <w:rFonts w:ascii="Arial" w:eastAsia="Times New Roman" w:hAnsi="Arial" w:cs="Times New Roman"/>
      <w:sz w:val="20"/>
      <w:szCs w:val="20"/>
      <w:lang w:eastAsia="en-AU"/>
    </w:rPr>
  </w:style>
  <w:style w:type="character" w:styleId="FootnoteReference">
    <w:name w:val="footnote reference"/>
    <w:semiHidden/>
    <w:rsid w:val="00833FE1"/>
    <w:rPr>
      <w:vertAlign w:val="superscript"/>
    </w:rPr>
  </w:style>
  <w:style w:type="paragraph" w:styleId="ListParagraph">
    <w:name w:val="List Paragraph"/>
    <w:basedOn w:val="Normal"/>
    <w:uiPriority w:val="34"/>
    <w:qFormat/>
    <w:rsid w:val="00833FE1"/>
    <w:pPr>
      <w:ind w:left="720"/>
    </w:pPr>
  </w:style>
  <w:style w:type="numbering" w:styleId="1ai">
    <w:name w:val="Outline List 1"/>
    <w:basedOn w:val="NoList"/>
    <w:rsid w:val="00AC3AAD"/>
    <w:pPr>
      <w:numPr>
        <w:numId w:val="3"/>
      </w:numPr>
    </w:pPr>
  </w:style>
  <w:style w:type="numbering" w:customStyle="1" w:styleId="StyleNumbered1">
    <w:name w:val="Style Numbered1"/>
    <w:basedOn w:val="NoList"/>
    <w:rsid w:val="00AC3AAD"/>
  </w:style>
  <w:style w:type="paragraph" w:styleId="Header">
    <w:name w:val="header"/>
    <w:basedOn w:val="Normal"/>
    <w:link w:val="HeaderChar"/>
    <w:uiPriority w:val="99"/>
    <w:unhideWhenUsed/>
    <w:rsid w:val="00AC3AAD"/>
    <w:pPr>
      <w:tabs>
        <w:tab w:val="center" w:pos="4513"/>
        <w:tab w:val="right" w:pos="9026"/>
      </w:tabs>
    </w:pPr>
  </w:style>
  <w:style w:type="character" w:customStyle="1" w:styleId="HeaderChar">
    <w:name w:val="Header Char"/>
    <w:basedOn w:val="DefaultParagraphFont"/>
    <w:link w:val="Header"/>
    <w:uiPriority w:val="99"/>
    <w:rsid w:val="00AC3AAD"/>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AC3AAD"/>
    <w:pPr>
      <w:tabs>
        <w:tab w:val="center" w:pos="4513"/>
        <w:tab w:val="right" w:pos="9026"/>
      </w:tabs>
    </w:pPr>
  </w:style>
  <w:style w:type="character" w:customStyle="1" w:styleId="FooterChar">
    <w:name w:val="Footer Char"/>
    <w:basedOn w:val="DefaultParagraphFont"/>
    <w:link w:val="Footer"/>
    <w:uiPriority w:val="99"/>
    <w:rsid w:val="00AC3AAD"/>
    <w:rPr>
      <w:rFonts w:ascii="Arial" w:eastAsia="Times New Roman" w:hAnsi="Arial" w:cs="Times New Roman"/>
      <w:sz w:val="20"/>
      <w:szCs w:val="24"/>
      <w:lang w:eastAsia="en-AU"/>
    </w:rPr>
  </w:style>
  <w:style w:type="numbering" w:customStyle="1" w:styleId="StyleStyleNumberedOutlinenumberedArial">
    <w:name w:val="Style Style Numbered + Outline numbered Arial"/>
    <w:basedOn w:val="NoList"/>
    <w:rsid w:val="00E769AF"/>
    <w:pPr>
      <w:numPr>
        <w:numId w:val="4"/>
      </w:numPr>
    </w:pPr>
  </w:style>
  <w:style w:type="table" w:styleId="TableGrid">
    <w:name w:val="Table Grid"/>
    <w:basedOn w:val="TableNormal"/>
    <w:rsid w:val="00E769A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Fraser Coast Regional Council</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Payler</dc:creator>
  <cp:keywords/>
  <dc:description/>
  <cp:lastModifiedBy>Phoebe Ottaway</cp:lastModifiedBy>
  <cp:revision>30</cp:revision>
  <dcterms:created xsi:type="dcterms:W3CDTF">2017-06-14T05:10:00Z</dcterms:created>
  <dcterms:modified xsi:type="dcterms:W3CDTF">2019-07-11T05:27:00Z</dcterms:modified>
</cp:coreProperties>
</file>